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b/>
          <w:bCs/>
          <w:sz w:val="44"/>
          <w:szCs w:val="44"/>
        </w:rPr>
      </w:pPr>
      <w:r>
        <w:rPr>
          <w:rFonts w:hint="eastAsia" w:ascii="宋体" w:hAnsi="宋体"/>
          <w:b/>
          <w:bCs/>
          <w:sz w:val="44"/>
          <w:szCs w:val="44"/>
        </w:rPr>
        <w:t xml:space="preserve">  关于盖州市2021年财政预算执行情况和</w:t>
      </w:r>
    </w:p>
    <w:p>
      <w:pPr>
        <w:spacing w:line="0" w:lineRule="atLeast"/>
        <w:jc w:val="center"/>
        <w:rPr>
          <w:rFonts w:ascii="宋体" w:hAnsi="宋体"/>
          <w:b/>
          <w:bCs/>
          <w:sz w:val="44"/>
          <w:szCs w:val="44"/>
        </w:rPr>
      </w:pPr>
      <w:r>
        <w:rPr>
          <w:rFonts w:hint="eastAsia" w:ascii="宋体" w:hAnsi="宋体"/>
          <w:b/>
          <w:bCs/>
          <w:sz w:val="44"/>
          <w:szCs w:val="44"/>
        </w:rPr>
        <w:t>2022年预算（草案）的报告</w:t>
      </w:r>
    </w:p>
    <w:p>
      <w:pPr>
        <w:spacing w:line="420" w:lineRule="exact"/>
        <w:ind w:firstLine="640" w:firstLineChars="200"/>
        <w:rPr>
          <w:rFonts w:ascii="宋体" w:hAnsi="宋体"/>
          <w:sz w:val="32"/>
          <w:szCs w:val="32"/>
        </w:rPr>
      </w:pPr>
      <w:r>
        <w:rPr>
          <w:rFonts w:hint="eastAsia" w:ascii="仿宋" w:hAnsi="仿宋" w:eastAsia="仿宋"/>
          <w:sz w:val="32"/>
          <w:szCs w:val="32"/>
        </w:rPr>
        <w:t xml:space="preserve">                          </w:t>
      </w:r>
    </w:p>
    <w:p>
      <w:pPr>
        <w:spacing w:line="420" w:lineRule="exact"/>
        <w:jc w:val="center"/>
        <w:rPr>
          <w:rFonts w:ascii="仿宋" w:hAnsi="仿宋" w:eastAsia="仿宋"/>
          <w:sz w:val="32"/>
          <w:szCs w:val="32"/>
        </w:rPr>
      </w:pPr>
      <w:r>
        <w:rPr>
          <w:rFonts w:hint="eastAsia" w:ascii="仿宋" w:hAnsi="仿宋" w:eastAsia="仿宋"/>
          <w:sz w:val="32"/>
          <w:szCs w:val="32"/>
        </w:rPr>
        <w:t>——2021年</w:t>
      </w:r>
      <w:r>
        <w:rPr>
          <w:rFonts w:hint="eastAsia" w:ascii="仿宋" w:hAnsi="仿宋" w:eastAsia="仿宋"/>
          <w:sz w:val="32"/>
          <w:szCs w:val="32"/>
          <w:lang w:val="en-US" w:eastAsia="zh-CN"/>
        </w:rPr>
        <w:t>12</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8</w:t>
      </w:r>
      <w:r>
        <w:rPr>
          <w:rFonts w:hint="eastAsia" w:ascii="仿宋" w:hAnsi="仿宋" w:eastAsia="仿宋"/>
          <w:color w:val="000000"/>
          <w:sz w:val="32"/>
          <w:szCs w:val="32"/>
          <w:highlight w:val="none"/>
        </w:rPr>
        <w:t>日</w:t>
      </w:r>
      <w:r>
        <w:rPr>
          <w:rFonts w:hint="eastAsia" w:ascii="仿宋" w:hAnsi="仿宋" w:eastAsia="仿宋"/>
          <w:sz w:val="32"/>
          <w:szCs w:val="32"/>
        </w:rPr>
        <w:t>在盖州市</w:t>
      </w:r>
    </w:p>
    <w:p>
      <w:pPr>
        <w:spacing w:line="420" w:lineRule="exact"/>
        <w:jc w:val="center"/>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八</w:t>
      </w:r>
      <w:r>
        <w:rPr>
          <w:rFonts w:hint="eastAsia" w:ascii="仿宋" w:hAnsi="仿宋" w:eastAsia="仿宋"/>
          <w:sz w:val="32"/>
          <w:szCs w:val="32"/>
        </w:rPr>
        <w:t>届人民代表大会第</w:t>
      </w:r>
      <w:r>
        <w:rPr>
          <w:rFonts w:hint="eastAsia" w:ascii="仿宋" w:hAnsi="仿宋" w:eastAsia="仿宋"/>
          <w:sz w:val="32"/>
          <w:szCs w:val="32"/>
          <w:lang w:eastAsia="zh-CN"/>
        </w:rPr>
        <w:t>一</w:t>
      </w:r>
      <w:r>
        <w:rPr>
          <w:rFonts w:hint="eastAsia" w:ascii="仿宋" w:hAnsi="仿宋" w:eastAsia="仿宋"/>
          <w:sz w:val="32"/>
          <w:szCs w:val="32"/>
          <w:highlight w:val="none"/>
        </w:rPr>
        <w:t>次</w:t>
      </w:r>
      <w:r>
        <w:rPr>
          <w:rFonts w:hint="eastAsia" w:ascii="仿宋" w:hAnsi="仿宋" w:eastAsia="仿宋"/>
          <w:sz w:val="32"/>
          <w:szCs w:val="32"/>
        </w:rPr>
        <w:t>会议上</w:t>
      </w:r>
    </w:p>
    <w:p>
      <w:pPr>
        <w:spacing w:line="420" w:lineRule="exact"/>
        <w:ind w:firstLine="640" w:firstLineChars="200"/>
        <w:rPr>
          <w:rFonts w:ascii="仿宋" w:hAnsi="仿宋" w:eastAsia="仿宋"/>
          <w:color w:val="FFFFFF"/>
          <w:sz w:val="32"/>
          <w:szCs w:val="32"/>
        </w:rPr>
      </w:pPr>
      <w:r>
        <w:rPr>
          <w:rFonts w:hint="eastAsia" w:ascii="仿宋" w:hAnsi="仿宋" w:eastAsia="仿宋"/>
          <w:sz w:val="32"/>
          <w:szCs w:val="32"/>
        </w:rPr>
        <w:t xml:space="preserve">               市财政局局长  刘同元</w:t>
      </w:r>
    </w:p>
    <w:p>
      <w:pPr>
        <w:pStyle w:val="6"/>
        <w:spacing w:line="560" w:lineRule="atLeast"/>
        <w:ind w:firstLine="0" w:firstLineChars="0"/>
        <w:rPr>
          <w:rFonts w:ascii="仿宋" w:hAnsi="仿宋" w:eastAsia="仿宋" w:cs="仿宋_GB2312"/>
          <w:sz w:val="32"/>
          <w:szCs w:val="32"/>
        </w:rPr>
      </w:pPr>
      <w:r>
        <w:rPr>
          <w:rFonts w:hint="eastAsia" w:ascii="仿宋" w:hAnsi="仿宋" w:eastAsia="仿宋" w:cs="仿宋_GB2312"/>
          <w:sz w:val="32"/>
          <w:szCs w:val="32"/>
        </w:rPr>
        <w:t>各位代表：</w:t>
      </w:r>
    </w:p>
    <w:p>
      <w:pPr>
        <w:pStyle w:val="6"/>
        <w:spacing w:line="560" w:lineRule="atLeast"/>
        <w:ind w:firstLine="64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受市人民政府委托，现将盖州市2021年预算执行情况和2022年预算(草案)提请本次大会审议，并请市政协委员和列席会议的同志提出意见。</w:t>
      </w:r>
    </w:p>
    <w:p>
      <w:pPr>
        <w:spacing w:line="560" w:lineRule="atLeast"/>
        <w:ind w:firstLine="723" w:firstLineChars="200"/>
        <w:rPr>
          <w:rFonts w:ascii="黑体" w:hAnsi="黑体" w:eastAsia="黑体"/>
          <w:b/>
          <w:bCs/>
          <w:color w:val="000000" w:themeColor="text1"/>
          <w:sz w:val="36"/>
          <w:szCs w:val="36"/>
        </w:rPr>
      </w:pPr>
      <w:r>
        <w:rPr>
          <w:rFonts w:hint="eastAsia" w:ascii="黑体" w:hAnsi="黑体" w:eastAsia="黑体"/>
          <w:b/>
          <w:bCs/>
          <w:color w:val="000000" w:themeColor="text1"/>
          <w:sz w:val="36"/>
          <w:szCs w:val="36"/>
        </w:rPr>
        <w:t>一、2021年预算执行情况</w:t>
      </w:r>
    </w:p>
    <w:p>
      <w:pPr>
        <w:spacing w:line="560" w:lineRule="atLeast"/>
        <w:ind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2021年是实施“十四五”规划、开启全面建设社会主义现代化国家新征程的开局之年。财政部门在市委、市政府的正确领导下，在市人大、市政协的监督指导下，紧紧围绕全市中心工作和重点项目建设，持续巩固拓展</w:t>
      </w:r>
      <w:r>
        <w:rPr>
          <w:rFonts w:hint="eastAsia" w:ascii="仿宋" w:hAnsi="仿宋" w:eastAsia="仿宋"/>
          <w:color w:val="000000" w:themeColor="text1"/>
          <w:sz w:val="32"/>
          <w:szCs w:val="32"/>
        </w:rPr>
        <w:t>疫情防控和经济社会发展成果，</w:t>
      </w:r>
      <w:r>
        <w:rPr>
          <w:rFonts w:hint="eastAsia" w:ascii="仿宋" w:hAnsi="仿宋" w:eastAsia="仿宋" w:cs="仿宋_GB2312"/>
          <w:color w:val="000000" w:themeColor="text1"/>
          <w:sz w:val="32"/>
          <w:szCs w:val="32"/>
        </w:rPr>
        <w:t>扎实做好“六稳”工作，全面落实“六保”任务，为全市社会经济发展提供了有力支撑。</w:t>
      </w:r>
    </w:p>
    <w:p>
      <w:pPr>
        <w:pStyle w:val="20"/>
        <w:rPr>
          <w:rFonts w:ascii="仿宋" w:hAnsi="仿宋" w:eastAsia="仿宋" w:cs="仿宋_GB2312"/>
          <w:i w:val="0"/>
          <w:iCs w:val="0"/>
          <w:color w:val="auto"/>
          <w:sz w:val="32"/>
          <w:szCs w:val="32"/>
        </w:rPr>
      </w:pPr>
      <w:r>
        <w:rPr>
          <w:rFonts w:hint="eastAsia" w:ascii="仿宋" w:hAnsi="仿宋" w:eastAsia="仿宋" w:cs="仿宋_GB2312"/>
          <w:i w:val="0"/>
          <w:iCs w:val="0"/>
          <w:color w:val="auto"/>
          <w:sz w:val="32"/>
          <w:szCs w:val="32"/>
        </w:rPr>
        <w:t xml:space="preserve">  </w:t>
      </w:r>
      <w:r>
        <w:rPr>
          <w:rFonts w:hint="eastAsia" w:ascii="仿宋" w:hAnsi="仿宋" w:eastAsia="仿宋" w:cs="仿宋_GB2312"/>
          <w:b/>
          <w:i w:val="0"/>
          <w:iCs w:val="0"/>
          <w:color w:val="auto"/>
          <w:sz w:val="32"/>
          <w:szCs w:val="32"/>
        </w:rPr>
        <w:t xml:space="preserve"> </w:t>
      </w:r>
      <w:r>
        <w:rPr>
          <w:rFonts w:hint="eastAsia" w:ascii="仿宋" w:hAnsi="仿宋" w:eastAsia="仿宋" w:cs="仿宋_GB2312"/>
          <w:i w:val="0"/>
          <w:iCs w:val="0"/>
          <w:color w:val="auto"/>
          <w:sz w:val="32"/>
          <w:szCs w:val="32"/>
        </w:rPr>
        <w:t xml:space="preserve"> 1.一般公共预算执行情况</w:t>
      </w:r>
    </w:p>
    <w:p>
      <w:pPr>
        <w:spacing w:line="360" w:lineRule="auto"/>
        <w:ind w:firstLine="627" w:firstLineChars="196"/>
        <w:rPr>
          <w:rFonts w:ascii="仿宋" w:hAnsi="仿宋" w:eastAsia="仿宋"/>
          <w:sz w:val="32"/>
          <w:szCs w:val="32"/>
        </w:rPr>
      </w:pPr>
      <w:r>
        <w:rPr>
          <w:rFonts w:hint="eastAsia" w:ascii="仿宋" w:hAnsi="仿宋" w:eastAsia="仿宋" w:cs="仿宋_GB2312"/>
          <w:sz w:val="32"/>
          <w:szCs w:val="32"/>
        </w:rPr>
        <w:t>全市一般公共预算收入预计完成17.98亿元，完成年度预算的165.6%，剔除</w:t>
      </w:r>
      <w:r>
        <w:rPr>
          <w:rFonts w:hint="eastAsia" w:ascii="仿宋" w:hAnsi="仿宋" w:eastAsia="仿宋" w:cs="仿宋_GB2312"/>
          <w:color w:val="FF0000"/>
          <w:sz w:val="32"/>
          <w:szCs w:val="32"/>
        </w:rPr>
        <w:t>一次性因素，增长18%</w:t>
      </w:r>
      <w:r>
        <w:rPr>
          <w:rFonts w:hint="eastAsia" w:ascii="仿宋" w:hAnsi="仿宋" w:eastAsia="仿宋" w:cs="仿宋_GB2312"/>
          <w:sz w:val="32"/>
          <w:szCs w:val="32"/>
        </w:rPr>
        <w:t>。其中：税收收入9.7亿元，完成预算106.4%；非税收入8.28亿元，完成预算475.9%。</w:t>
      </w:r>
    </w:p>
    <w:p>
      <w:pPr>
        <w:pStyle w:val="6"/>
        <w:spacing w:line="560" w:lineRule="atLeast"/>
        <w:ind w:firstLine="640"/>
        <w:rPr>
          <w:rFonts w:ascii="仿宋" w:hAnsi="仿宋" w:eastAsia="仿宋" w:cs="仿宋_GB2312"/>
          <w:sz w:val="32"/>
          <w:szCs w:val="32"/>
        </w:rPr>
      </w:pPr>
      <w:r>
        <w:rPr>
          <w:rFonts w:hint="eastAsia" w:ascii="仿宋" w:hAnsi="仿宋" w:eastAsia="仿宋" w:cs="仿宋_GB2312"/>
          <w:sz w:val="32"/>
          <w:szCs w:val="32"/>
        </w:rPr>
        <w:t>全市财政总收入87.49亿元，其中，一般公共预算收入17.98亿元，上级财政补助收入27.93亿元，上年结转财力7.44亿元，调入资金12.57亿元，债务转贷收入21.57亿元。全市财政总支出87.49亿元，其中：一般公共预算支出46.26亿元，上解支出4.72亿元，债务还本支出21.57亿元。结转下年支出14.94亿元。经过努力，收支实现平衡。</w:t>
      </w:r>
    </w:p>
    <w:p>
      <w:pPr>
        <w:pStyle w:val="6"/>
        <w:spacing w:line="560" w:lineRule="atLeast"/>
        <w:ind w:firstLine="480" w:firstLineChars="150"/>
        <w:rPr>
          <w:rStyle w:val="17"/>
        </w:rPr>
      </w:pPr>
      <w:r>
        <w:rPr>
          <w:rFonts w:hint="eastAsia" w:ascii="仿宋" w:hAnsi="仿宋" w:eastAsia="仿宋" w:cs="仿宋_GB2312"/>
          <w:sz w:val="32"/>
          <w:szCs w:val="32"/>
        </w:rPr>
        <w:t>（1）盖州市本级</w:t>
      </w:r>
    </w:p>
    <w:p>
      <w:pPr>
        <w:pStyle w:val="6"/>
        <w:spacing w:line="560" w:lineRule="atLeast"/>
        <w:ind w:firstLineChars="0"/>
        <w:rPr>
          <w:rFonts w:ascii="仿宋" w:hAnsi="仿宋" w:eastAsia="仿宋" w:cs="仿宋_GB2312"/>
          <w:sz w:val="32"/>
          <w:szCs w:val="32"/>
        </w:rPr>
      </w:pPr>
      <w:r>
        <w:rPr>
          <w:rFonts w:hint="eastAsia" w:ascii="仿宋" w:hAnsi="仿宋" w:eastAsia="仿宋" w:cs="仿宋_GB2312"/>
          <w:sz w:val="32"/>
          <w:szCs w:val="32"/>
        </w:rPr>
        <w:t>盖州市本级一般公共预算收入预计完成5.26亿元，完成年度预算的111.2%，增长11.8%。</w:t>
      </w:r>
    </w:p>
    <w:p>
      <w:pPr>
        <w:pStyle w:val="6"/>
        <w:spacing w:line="560" w:lineRule="atLeast"/>
        <w:ind w:firstLineChars="0"/>
        <w:rPr>
          <w:rFonts w:ascii="仿宋" w:hAnsi="仿宋" w:eastAsia="仿宋" w:cs="仿宋_GB2312"/>
          <w:sz w:val="32"/>
          <w:szCs w:val="32"/>
        </w:rPr>
      </w:pPr>
      <w:r>
        <w:rPr>
          <w:rFonts w:hint="eastAsia" w:ascii="仿宋" w:hAnsi="仿宋" w:eastAsia="仿宋" w:cs="仿宋_GB2312"/>
          <w:sz w:val="32"/>
          <w:szCs w:val="32"/>
        </w:rPr>
        <w:t>财政总收入48.5亿元，其中，一般公共预算收入5.26亿元，上级财政补助收入25.31亿元，上年结转财力7.44亿元，调入资金9.43亿元，债务转贷收入1.06亿元。财政总支出48.5亿元，其中，一般公共预算支出35.58亿元，上解支出3.06亿元，债务还本支出1.06亿元，结转下年支出8.8亿元。收支实现平衡。</w:t>
      </w:r>
    </w:p>
    <w:p>
      <w:pPr>
        <w:pStyle w:val="6"/>
        <w:spacing w:line="560" w:lineRule="atLeast"/>
        <w:ind w:firstLineChars="0"/>
        <w:rPr>
          <w:rFonts w:ascii="仿宋" w:hAnsi="仿宋" w:eastAsia="仿宋" w:cs="仿宋_GB2312"/>
          <w:sz w:val="32"/>
          <w:szCs w:val="32"/>
        </w:rPr>
      </w:pPr>
      <w:r>
        <w:rPr>
          <w:rFonts w:hint="eastAsia" w:ascii="仿宋" w:hAnsi="仿宋" w:eastAsia="仿宋" w:cs="仿宋_GB2312"/>
          <w:sz w:val="32"/>
          <w:szCs w:val="32"/>
        </w:rPr>
        <w:t>（2）仙人岛经济开发区</w:t>
      </w:r>
    </w:p>
    <w:p>
      <w:pPr>
        <w:pStyle w:val="6"/>
        <w:spacing w:line="560" w:lineRule="atLeast"/>
        <w:ind w:firstLineChars="0"/>
        <w:rPr>
          <w:rFonts w:ascii="仿宋" w:hAnsi="仿宋" w:eastAsia="仿宋" w:cs="仿宋_GB2312"/>
          <w:sz w:val="32"/>
          <w:szCs w:val="32"/>
        </w:rPr>
      </w:pPr>
      <w:r>
        <w:rPr>
          <w:rFonts w:hint="eastAsia" w:ascii="仿宋" w:hAnsi="仿宋" w:eastAsia="仿宋" w:cs="仿宋_GB2312"/>
          <w:sz w:val="32"/>
          <w:szCs w:val="32"/>
        </w:rPr>
        <w:t>一般公共预算收入预计完成11.47亿元，完成年度预算的277.8%，增长221%。</w:t>
      </w:r>
    </w:p>
    <w:p>
      <w:pPr>
        <w:pStyle w:val="6"/>
        <w:spacing w:line="560" w:lineRule="atLeast"/>
        <w:ind w:firstLineChars="0"/>
        <w:rPr>
          <w:rFonts w:ascii="仿宋" w:hAnsi="仿宋" w:eastAsia="仿宋" w:cs="仿宋_GB2312"/>
          <w:sz w:val="32"/>
          <w:szCs w:val="32"/>
          <w:highlight w:val="yellow"/>
        </w:rPr>
      </w:pPr>
      <w:r>
        <w:rPr>
          <w:rFonts w:hint="eastAsia" w:ascii="仿宋" w:hAnsi="仿宋" w:eastAsia="仿宋" w:cs="仿宋_GB2312"/>
          <w:sz w:val="32"/>
          <w:szCs w:val="32"/>
        </w:rPr>
        <w:t>财政总收入22.6亿元，其中，一般公共预算收入11.47亿元，上级财政补助收入2.58亿元，债务转贷收入8.55亿元。财政总支出22.6亿元，其中，一般公共预算支出6.42亿元, 上解支出1.49亿元，债务还本支出8.55亿元，结转下年支出6.14亿元。</w:t>
      </w:r>
    </w:p>
    <w:p>
      <w:pPr>
        <w:pStyle w:val="6"/>
        <w:spacing w:line="560" w:lineRule="atLeast"/>
        <w:ind w:firstLineChars="0"/>
        <w:rPr>
          <w:rFonts w:ascii="仿宋" w:hAnsi="仿宋" w:eastAsia="仿宋" w:cs="仿宋_GB2312"/>
          <w:sz w:val="32"/>
          <w:szCs w:val="32"/>
        </w:rPr>
      </w:pPr>
      <w:r>
        <w:rPr>
          <w:rFonts w:hint="eastAsia" w:ascii="仿宋" w:hAnsi="仿宋" w:eastAsia="仿宋" w:cs="仿宋_GB2312"/>
          <w:sz w:val="32"/>
          <w:szCs w:val="32"/>
        </w:rPr>
        <w:t>（3）北海经济开发区</w:t>
      </w:r>
    </w:p>
    <w:p>
      <w:pPr>
        <w:pStyle w:val="6"/>
        <w:spacing w:line="560" w:lineRule="atLeast"/>
        <w:ind w:firstLineChars="0"/>
        <w:rPr>
          <w:rFonts w:ascii="仿宋" w:hAnsi="仿宋" w:eastAsia="仿宋" w:cs="仿宋_GB2312"/>
          <w:sz w:val="32"/>
          <w:szCs w:val="32"/>
          <w:highlight w:val="yellow"/>
        </w:rPr>
      </w:pPr>
      <w:r>
        <w:rPr>
          <w:rFonts w:hint="eastAsia" w:ascii="仿宋" w:hAnsi="仿宋" w:eastAsia="仿宋" w:cs="仿宋_GB2312"/>
          <w:sz w:val="32"/>
          <w:szCs w:val="32"/>
        </w:rPr>
        <w:t>一般公共预算收入预计完成1.25亿元，完成年度预算的109.7%，增长28%。</w:t>
      </w:r>
    </w:p>
    <w:p>
      <w:pPr>
        <w:pStyle w:val="6"/>
        <w:spacing w:line="560" w:lineRule="atLeast"/>
        <w:ind w:firstLineChars="0"/>
        <w:rPr>
          <w:rFonts w:ascii="仿宋" w:hAnsi="仿宋" w:eastAsia="仿宋" w:cs="仿宋_GB2312"/>
          <w:sz w:val="32"/>
          <w:szCs w:val="32"/>
        </w:rPr>
      </w:pPr>
      <w:r>
        <w:rPr>
          <w:rFonts w:hint="eastAsia" w:ascii="仿宋" w:hAnsi="仿宋" w:eastAsia="仿宋" w:cs="仿宋_GB2312"/>
          <w:sz w:val="32"/>
          <w:szCs w:val="32"/>
        </w:rPr>
        <w:t>财政总收入16.39亿元，其中，一般公共预算收入1.25亿元，上级财政补助收入0.05亿元，调入资金3.14亿元，债务转贷收入11.95亿元。财政总支出16.39亿元，其中，一般公共预算支出4.26亿元, 上解支出0.18亿元，债务还本支出11.95亿元。</w:t>
      </w:r>
    </w:p>
    <w:p>
      <w:pPr>
        <w:spacing w:line="560" w:lineRule="atLeast"/>
        <w:ind w:firstLine="640" w:firstLineChars="200"/>
        <w:rPr>
          <w:rFonts w:ascii="仿宋" w:hAnsi="仿宋" w:eastAsia="仿宋"/>
          <w:bCs/>
          <w:sz w:val="32"/>
          <w:szCs w:val="32"/>
        </w:rPr>
      </w:pPr>
      <w:r>
        <w:rPr>
          <w:rFonts w:hint="eastAsia" w:ascii="仿宋" w:hAnsi="仿宋" w:eastAsia="仿宋"/>
          <w:bCs/>
          <w:sz w:val="32"/>
          <w:szCs w:val="32"/>
        </w:rPr>
        <w:t>2.政府性基金预算执行情况</w:t>
      </w:r>
    </w:p>
    <w:p>
      <w:pPr>
        <w:pStyle w:val="6"/>
        <w:spacing w:line="560" w:lineRule="atLeast"/>
        <w:ind w:firstLine="640"/>
        <w:rPr>
          <w:rFonts w:ascii="仿宋" w:hAnsi="仿宋" w:eastAsia="仿宋" w:cs="仿宋_GB2312"/>
          <w:sz w:val="32"/>
          <w:szCs w:val="32"/>
        </w:rPr>
      </w:pPr>
      <w:r>
        <w:rPr>
          <w:rFonts w:hint="eastAsia" w:ascii="仿宋" w:hAnsi="仿宋" w:eastAsia="仿宋" w:cs="仿宋_GB2312"/>
          <w:sz w:val="32"/>
          <w:szCs w:val="32"/>
        </w:rPr>
        <w:t>政府性基金收入预计完成5.85亿元，同比减少1.65亿元，下降22%，主要是城市基础设施配套费收入同比减少1.48亿元。</w:t>
      </w:r>
    </w:p>
    <w:p>
      <w:pPr>
        <w:pStyle w:val="6"/>
        <w:spacing w:line="560" w:lineRule="atLeast"/>
        <w:ind w:firstLine="640"/>
        <w:rPr>
          <w:rFonts w:ascii="仿宋" w:hAnsi="仿宋" w:eastAsia="仿宋" w:cs="仿宋_GB2312"/>
          <w:sz w:val="32"/>
          <w:szCs w:val="32"/>
        </w:rPr>
      </w:pPr>
      <w:r>
        <w:rPr>
          <w:rFonts w:hint="eastAsia" w:ascii="仿宋" w:hAnsi="仿宋" w:eastAsia="仿宋" w:cs="仿宋_GB2312"/>
          <w:sz w:val="32"/>
          <w:szCs w:val="32"/>
        </w:rPr>
        <w:t>政府性基金总收入6.28亿元，其中，政府性基金收入5.85亿元，上级补助收入0.24亿元，上年结余收入0.19亿元。政府性基金支出6.28亿元，收支平衡。</w:t>
      </w:r>
    </w:p>
    <w:p>
      <w:pPr>
        <w:spacing w:line="560" w:lineRule="atLeast"/>
        <w:ind w:firstLine="640" w:firstLineChars="200"/>
        <w:rPr>
          <w:rFonts w:ascii="仿宋" w:hAnsi="仿宋" w:eastAsia="仿宋"/>
          <w:bCs/>
          <w:sz w:val="32"/>
          <w:szCs w:val="32"/>
        </w:rPr>
      </w:pPr>
      <w:r>
        <w:rPr>
          <w:rFonts w:hint="eastAsia" w:ascii="仿宋" w:hAnsi="仿宋" w:eastAsia="仿宋"/>
          <w:bCs/>
          <w:sz w:val="32"/>
          <w:szCs w:val="32"/>
        </w:rPr>
        <w:t>3.社会保险基金预算执行情况</w:t>
      </w:r>
    </w:p>
    <w:p>
      <w:pPr>
        <w:pStyle w:val="6"/>
        <w:spacing w:line="560" w:lineRule="atLeast"/>
        <w:ind w:firstLine="640"/>
        <w:rPr>
          <w:rFonts w:ascii="仿宋" w:hAnsi="仿宋" w:eastAsia="仿宋" w:cs="仿宋_GB2312"/>
          <w:sz w:val="32"/>
          <w:szCs w:val="32"/>
        </w:rPr>
      </w:pPr>
      <w:r>
        <w:rPr>
          <w:rFonts w:hint="eastAsia" w:ascii="仿宋" w:hAnsi="仿宋" w:eastAsia="仿宋" w:cs="仿宋_GB2312"/>
          <w:sz w:val="32"/>
          <w:szCs w:val="32"/>
        </w:rPr>
        <w:t>全市社会保险基金总收入7.99亿元，其中，社保基金统筹保费收入2.03亿元，上级财政补助收入2.45亿元，本级财政弥补缺口补助收入3.37亿元，转移收入0.14亿元。社会保险基金总支出7.99亿元。</w:t>
      </w:r>
    </w:p>
    <w:p>
      <w:pPr>
        <w:pStyle w:val="20"/>
        <w:ind w:firstLine="480" w:firstLineChars="150"/>
        <w:rPr>
          <w:rFonts w:ascii="仿宋" w:hAnsi="仿宋" w:eastAsia="仿宋" w:cs="仿宋_GB2312"/>
          <w:i w:val="0"/>
          <w:color w:val="000000" w:themeColor="text1"/>
          <w:sz w:val="32"/>
          <w:szCs w:val="32"/>
        </w:rPr>
      </w:pPr>
      <w:r>
        <w:rPr>
          <w:rFonts w:hint="eastAsia" w:ascii="仿宋" w:hAnsi="仿宋" w:eastAsia="仿宋" w:cs="仿宋_GB2312"/>
          <w:i w:val="0"/>
          <w:color w:val="000000" w:themeColor="text1"/>
          <w:sz w:val="32"/>
          <w:szCs w:val="32"/>
        </w:rPr>
        <w:t>总的看，2021年财政运行总体平稳，同时也应清醒的看到，当前我市财政工作还面临着不少困难和挑战：经济运行发展后劲不足，财政收入恢复性增长与支出刚性增长的收支矛盾越发突出；政府治理对财政保障的要求越来越高，财政收支矛盾十分突出；财政收入征管质量需要进一步提高；厉行节约过紧日子的风气尚未真正形成，预算约束力仍需要增强；防范化解债务风险的任务仍然艰巨。这些问题，我们将高度重视，积极采取措施加以解决。</w:t>
      </w:r>
    </w:p>
    <w:p>
      <w:pPr>
        <w:spacing w:line="560" w:lineRule="atLeast"/>
        <w:ind w:firstLine="361" w:firstLineChars="100"/>
        <w:rPr>
          <w:rFonts w:ascii="黑体" w:hAnsi="黑体" w:eastAsia="黑体" w:cs="仿宋_GB2312"/>
          <w:b/>
          <w:color w:val="000000" w:themeColor="text1"/>
          <w:sz w:val="36"/>
          <w:szCs w:val="36"/>
        </w:rPr>
      </w:pPr>
      <w:r>
        <w:rPr>
          <w:rFonts w:hint="eastAsia" w:ascii="黑体" w:hAnsi="黑体" w:eastAsia="黑体" w:cs="仿宋_GB2312"/>
          <w:b/>
          <w:color w:val="000000" w:themeColor="text1"/>
          <w:sz w:val="36"/>
          <w:szCs w:val="36"/>
        </w:rPr>
        <w:t>二、2021年财政重点工作</w:t>
      </w:r>
    </w:p>
    <w:p>
      <w:pPr>
        <w:spacing w:line="560" w:lineRule="atLeast"/>
        <w:ind w:firstLine="472" w:firstLineChars="147"/>
        <w:rPr>
          <w:rFonts w:ascii="仿宋" w:hAnsi="仿宋" w:eastAsia="仿宋"/>
          <w:b/>
          <w:bCs/>
          <w:sz w:val="32"/>
          <w:szCs w:val="32"/>
        </w:rPr>
      </w:pPr>
      <w:r>
        <w:rPr>
          <w:rFonts w:hint="eastAsia" w:ascii="仿宋" w:hAnsi="仿宋" w:eastAsia="仿宋"/>
          <w:b/>
          <w:sz w:val="32"/>
          <w:szCs w:val="32"/>
        </w:rPr>
        <w:t xml:space="preserve"> </w:t>
      </w:r>
      <w:r>
        <w:rPr>
          <w:rFonts w:hint="eastAsia" w:ascii="仿宋" w:hAnsi="仿宋" w:eastAsia="仿宋"/>
          <w:b/>
          <w:bCs/>
          <w:sz w:val="32"/>
          <w:szCs w:val="32"/>
        </w:rPr>
        <w:t>1.多措并举抓好财政收入</w:t>
      </w:r>
    </w:p>
    <w:p>
      <w:pPr>
        <w:spacing w:line="56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积极采取措施，加大收入组织力度，确保一般公共预算收入稳定增长。一是加强收入征管，严格落实组织收入的主体责任，成立税费征收专班，每月进行税收分析，深挖增收潜力。二是加强非税收入调度，清理欠缴资金，做到应收尽收。三是积极争取上级财政对我市的政策倾斜和资金支持，缓解财政收支矛盾，全年共争取上级财力性转移支付资金4.5亿元，有力缓解我市财政资金压力。</w:t>
      </w:r>
    </w:p>
    <w:p>
      <w:pPr>
        <w:spacing w:line="560" w:lineRule="atLeast"/>
        <w:ind w:firstLine="643" w:firstLineChars="200"/>
        <w:rPr>
          <w:rFonts w:ascii="仿宋" w:hAnsi="仿宋" w:eastAsia="仿宋"/>
          <w:b/>
          <w:bCs/>
          <w:sz w:val="32"/>
          <w:szCs w:val="32"/>
        </w:rPr>
      </w:pPr>
      <w:r>
        <w:rPr>
          <w:rFonts w:hint="eastAsia" w:ascii="仿宋" w:hAnsi="仿宋" w:eastAsia="仿宋"/>
          <w:b/>
          <w:bCs/>
          <w:sz w:val="32"/>
          <w:szCs w:val="32"/>
        </w:rPr>
        <w:t>2. 保障重点安排兜底 “三保”支出</w:t>
      </w:r>
    </w:p>
    <w:p>
      <w:pPr>
        <w:ind w:firstLine="480" w:firstLineChars="150"/>
        <w:rPr>
          <w:rFonts w:ascii="仿宋" w:hAnsi="仿宋" w:eastAsia="仿宋" w:cs="仿宋_GB2312"/>
          <w:sz w:val="32"/>
          <w:szCs w:val="32"/>
        </w:rPr>
      </w:pPr>
      <w:r>
        <w:rPr>
          <w:rFonts w:hint="eastAsia" w:ascii="仿宋" w:hAnsi="仿宋" w:eastAsia="仿宋" w:cs="仿宋_GB2312"/>
          <w:sz w:val="32"/>
          <w:szCs w:val="32"/>
        </w:rPr>
        <w:t>一是坚持过紧日子思想，大力压减一般性支出。从严控制“三公”经费和其他非急需、非刚性支出，节约资金优先用于“三保”支出等方面。二是切实强化“三保”支出预算管理，努力确保资金及时足额拨付到位。全市“三保”实际支出22.43亿元，其中：保基本民生9.09亿元、保工资12.14亿元、保运转1.2亿元。</w:t>
      </w:r>
    </w:p>
    <w:p>
      <w:pPr>
        <w:pStyle w:val="6"/>
        <w:spacing w:line="560" w:lineRule="atLeast"/>
        <w:ind w:firstLine="643"/>
        <w:rPr>
          <w:rFonts w:ascii="仿宋" w:hAnsi="仿宋" w:eastAsia="仿宋"/>
          <w:b/>
          <w:sz w:val="32"/>
          <w:szCs w:val="32"/>
        </w:rPr>
      </w:pPr>
      <w:r>
        <w:rPr>
          <w:rFonts w:hint="eastAsia" w:ascii="仿宋" w:hAnsi="仿宋" w:eastAsia="仿宋"/>
          <w:b/>
          <w:sz w:val="32"/>
          <w:szCs w:val="32"/>
        </w:rPr>
        <w:t>3. 拓展融资途径降低债务风险</w:t>
      </w:r>
    </w:p>
    <w:p>
      <w:pPr>
        <w:pStyle w:val="6"/>
        <w:spacing w:line="560" w:lineRule="atLeast"/>
        <w:ind w:firstLine="640"/>
        <w:rPr>
          <w:rFonts w:ascii="仿宋" w:hAnsi="仿宋" w:eastAsia="仿宋"/>
          <w:color w:val="000000"/>
          <w:sz w:val="32"/>
          <w:szCs w:val="32"/>
        </w:rPr>
      </w:pPr>
      <w:r>
        <w:rPr>
          <w:rFonts w:hint="eastAsia" w:ascii="仿宋" w:hAnsi="仿宋" w:eastAsia="仿宋"/>
          <w:color w:val="000000"/>
          <w:sz w:val="32"/>
          <w:szCs w:val="32"/>
        </w:rPr>
        <w:t>按期偿还债务本息13.64亿元，化解了债务风险。同时，发行再融资债券21.57亿元，进一步优化了债务结构，降低了利息负担，缓解了财政支出压力。</w:t>
      </w:r>
    </w:p>
    <w:p>
      <w:pPr>
        <w:pStyle w:val="6"/>
        <w:spacing w:line="560" w:lineRule="atLeast"/>
        <w:ind w:firstLine="559" w:firstLineChars="174"/>
        <w:rPr>
          <w:rFonts w:ascii="仿宋" w:hAnsi="仿宋" w:eastAsia="仿宋"/>
          <w:b/>
          <w:sz w:val="32"/>
          <w:szCs w:val="32"/>
        </w:rPr>
      </w:pPr>
      <w:r>
        <w:rPr>
          <w:rFonts w:hint="eastAsia" w:ascii="仿宋" w:hAnsi="仿宋" w:eastAsia="仿宋"/>
          <w:b/>
          <w:sz w:val="32"/>
          <w:szCs w:val="32"/>
        </w:rPr>
        <w:t>4.支持惠民政策保障民生支出</w:t>
      </w:r>
    </w:p>
    <w:p>
      <w:pPr>
        <w:pStyle w:val="6"/>
        <w:spacing w:line="560" w:lineRule="atLeast"/>
        <w:ind w:firstLine="640"/>
        <w:rPr>
          <w:rFonts w:ascii="仿宋_GB2312" w:eastAsia="仿宋_GB2312"/>
          <w:color w:val="000000"/>
          <w:sz w:val="32"/>
          <w:szCs w:val="32"/>
        </w:rPr>
      </w:pPr>
      <w:r>
        <w:rPr>
          <w:rFonts w:hint="eastAsia" w:ascii="仿宋" w:hAnsi="仿宋" w:eastAsia="仿宋"/>
          <w:color w:val="000000"/>
          <w:sz w:val="32"/>
          <w:szCs w:val="32"/>
        </w:rPr>
        <w:t>全年共安排保障民生支出11.72亿元，其中：用于补缴2014年10月-2020年末退休人员职业年金0.61亿元；用于补发企业退休人员取暖费0.3亿元；用于补发2018-2021年退役军人义务兵优待金和自主择业退役士兵一次性补助金及部分退役士兵保险接续资金0.2亿元；用于补发计划生育奖扶和计划生育家庭特别扶助金0.18亿元；用于机关事业离退休养老金支出6.22亿元；用于城乡居民养老金支出1.96亿元；用于城乡低保、特困人员救助、高龄老人补贴、孤儿生活补助、困难残疾人两项补贴、临时救助支出1.33亿元；用于城乡优抚和六十年代精简下放生活补助支出0.55亿元；用于再就业支出0.37亿元。</w:t>
      </w:r>
    </w:p>
    <w:p>
      <w:pPr>
        <w:ind w:firstLine="645"/>
        <w:rPr>
          <w:rFonts w:ascii="仿宋" w:hAnsi="仿宋" w:eastAsia="仿宋"/>
          <w:b/>
          <w:sz w:val="32"/>
          <w:szCs w:val="32"/>
        </w:rPr>
      </w:pPr>
      <w:r>
        <w:rPr>
          <w:rFonts w:hint="eastAsia" w:ascii="仿宋" w:hAnsi="仿宋" w:eastAsia="仿宋"/>
          <w:b/>
          <w:sz w:val="32"/>
          <w:szCs w:val="32"/>
        </w:rPr>
        <w:t>5. 助力乡村振兴巩固脱贫成果</w:t>
      </w:r>
    </w:p>
    <w:p>
      <w:pPr>
        <w:ind w:firstLine="640" w:firstLineChars="200"/>
      </w:pPr>
      <w:r>
        <w:rPr>
          <w:rFonts w:hint="eastAsia" w:ascii="仿宋" w:hAnsi="仿宋" w:eastAsia="仿宋"/>
          <w:color w:val="000000"/>
          <w:sz w:val="32"/>
          <w:szCs w:val="32"/>
        </w:rPr>
        <w:t>全年共投入乡村振兴资金0.8982亿元，其中：</w:t>
      </w:r>
      <w:r>
        <w:rPr>
          <w:rFonts w:hint="eastAsia" w:ascii="仿宋" w:hAnsi="仿宋" w:eastAsia="仿宋" w:cs="仿宋_GB2312"/>
          <w:color w:val="000000"/>
          <w:sz w:val="32"/>
          <w:szCs w:val="32"/>
        </w:rPr>
        <w:t>用于贫困户危房改造，投入248万元；用于</w:t>
      </w:r>
      <w:r>
        <w:rPr>
          <w:rFonts w:hint="eastAsia" w:ascii="仿宋" w:hAnsi="仿宋" w:eastAsia="仿宋"/>
          <w:color w:val="000000"/>
          <w:sz w:val="32"/>
          <w:szCs w:val="32"/>
        </w:rPr>
        <w:t>扶持乡镇27个扶贫产业项目，</w:t>
      </w:r>
      <w:r>
        <w:rPr>
          <w:rFonts w:hint="eastAsia" w:ascii="仿宋" w:hAnsi="仿宋" w:eastAsia="仿宋" w:cs="仿宋_GB2312"/>
          <w:color w:val="000000"/>
          <w:sz w:val="32"/>
          <w:szCs w:val="32"/>
        </w:rPr>
        <w:t>投入4841万元</w:t>
      </w:r>
      <w:r>
        <w:rPr>
          <w:rFonts w:hint="eastAsia" w:ascii="仿宋" w:hAnsi="仿宋" w:eastAsia="仿宋"/>
          <w:color w:val="000000"/>
          <w:sz w:val="32"/>
          <w:szCs w:val="32"/>
        </w:rPr>
        <w:t>；用于实现贫困户</w:t>
      </w:r>
      <w:r>
        <w:rPr>
          <w:rFonts w:hint="eastAsia" w:ascii="仿宋" w:hAnsi="仿宋" w:eastAsia="仿宋"/>
          <w:sz w:val="32"/>
          <w:szCs w:val="32"/>
        </w:rPr>
        <w:t>“五小”产业项目全覆盖，</w:t>
      </w:r>
      <w:r>
        <w:rPr>
          <w:rFonts w:hint="eastAsia" w:ascii="仿宋" w:hAnsi="仿宋" w:eastAsia="仿宋"/>
          <w:color w:val="000000"/>
          <w:sz w:val="32"/>
          <w:szCs w:val="32"/>
        </w:rPr>
        <w:t>投入400万元</w:t>
      </w:r>
      <w:r>
        <w:rPr>
          <w:rFonts w:hint="eastAsia" w:ascii="仿宋" w:hAnsi="仿宋" w:eastAsia="仿宋"/>
          <w:sz w:val="32"/>
          <w:szCs w:val="32"/>
        </w:rPr>
        <w:t>；用于建档立卡贫困户新农合个人缴费补助，投入540万元；用于防贫综合保险投入资金340万元；用于实施“雨露计划”帮扶232名贫困家庭学生，投入70万元；用于少数民族乡村发展项目，投入135万元。</w:t>
      </w:r>
    </w:p>
    <w:p>
      <w:pPr>
        <w:ind w:firstLine="630" w:firstLineChars="196"/>
        <w:rPr>
          <w:rFonts w:ascii="仿宋" w:hAnsi="仿宋" w:eastAsia="仿宋"/>
          <w:b/>
          <w:sz w:val="32"/>
          <w:szCs w:val="32"/>
        </w:rPr>
      </w:pPr>
      <w:r>
        <w:rPr>
          <w:rFonts w:hint="eastAsia" w:ascii="仿宋" w:hAnsi="仿宋" w:eastAsia="仿宋"/>
          <w:b/>
          <w:sz w:val="32"/>
          <w:szCs w:val="32"/>
        </w:rPr>
        <w:t>6. 加大污染防治改善生态环境建设</w:t>
      </w:r>
    </w:p>
    <w:p>
      <w:pPr>
        <w:ind w:firstLine="640" w:firstLineChars="200"/>
        <w:rPr>
          <w:rFonts w:ascii="仿宋" w:hAnsi="仿宋" w:eastAsia="仿宋"/>
          <w:sz w:val="32"/>
          <w:szCs w:val="32"/>
        </w:rPr>
      </w:pPr>
      <w:r>
        <w:rPr>
          <w:rFonts w:hint="eastAsia" w:ascii="仿宋" w:hAnsi="仿宋" w:eastAsia="仿宋"/>
          <w:sz w:val="32"/>
          <w:szCs w:val="32"/>
        </w:rPr>
        <w:t>全年共安排环境保护及城乡基础设施投入资金4.3421亿元，其中：用于生活垃圾处理场扩容改造项目10,000万元；用于生活垃圾处理及环境绿化维护5365万元；用于污水处理设施更换、维护及生产运行经费4,445万元；用于环境监测及污染防治420万元；用于邵屯河黑臭水体治理1,000万元；用于农村生活污水管网建设500万元；用于双台河道治理190万元；“青山工程”地方配套资金1,202万元；用于仙人岛海洋生态保护修复和海岸生态修复19,079万元；用于北海海堤生态修复改造1,215万元。</w:t>
      </w:r>
    </w:p>
    <w:p>
      <w:pPr>
        <w:ind w:firstLine="482" w:firstLineChars="150"/>
        <w:rPr>
          <w:rFonts w:ascii="仿宋" w:hAnsi="仿宋" w:eastAsia="仿宋"/>
          <w:b/>
          <w:sz w:val="32"/>
          <w:szCs w:val="32"/>
        </w:rPr>
      </w:pPr>
      <w:r>
        <w:rPr>
          <w:rFonts w:hint="eastAsia" w:ascii="仿宋" w:hAnsi="仿宋" w:eastAsia="仿宋"/>
          <w:b/>
          <w:sz w:val="32"/>
          <w:szCs w:val="32"/>
        </w:rPr>
        <w:t>7. 释放惠农红利落实惠农政策</w:t>
      </w:r>
    </w:p>
    <w:p>
      <w:pPr>
        <w:ind w:firstLine="640" w:firstLineChars="200"/>
        <w:rPr>
          <w:rFonts w:ascii="仿宋" w:hAnsi="仿宋" w:eastAsia="仿宋"/>
          <w:sz w:val="32"/>
          <w:szCs w:val="32"/>
        </w:rPr>
      </w:pPr>
      <w:r>
        <w:rPr>
          <w:rFonts w:hint="eastAsia" w:ascii="仿宋" w:hAnsi="仿宋" w:eastAsia="仿宋"/>
          <w:sz w:val="32"/>
          <w:szCs w:val="32"/>
        </w:rPr>
        <w:t>全年共安排落实惠农政策资金3.11亿元，其中：用于村干部报酬、村办公经费等村级运转，安排3,808万元；用于农村耕地保护、玉米、大豆生产者补贴、公益林补贴及水库移民补助等，安排9800万元；用于农村土地承包经营确权登记、基层农技推广服务体系建设、渔民减船减产、农民技能培训，高标准农田建设，安排3,937万元；用于购置疫苗、捕杀疫病禽畜，安排259万元；用于中小河流整治、农村综合水价改革、高效节水灌溉、水利移民后期扶持项目，安排6,452万元；用于森林抚育、林业有害生物防治、退耕还林、林场改制，安排129万元；用于农厕改造项目，安排656万元；用于“一事一议”财政奖补村内道路和美丽乡村示范村建设，安排4,390万元；用于扶持壮大村级集体经济项目，安排1,700万元。用于人居环境整治设备购置及基础设施建设等投入1,182万元。</w:t>
      </w:r>
    </w:p>
    <w:p>
      <w:pPr>
        <w:pStyle w:val="6"/>
        <w:spacing w:line="560" w:lineRule="atLeast"/>
        <w:ind w:firstLine="643"/>
        <w:rPr>
          <w:rFonts w:ascii="仿宋" w:hAnsi="仿宋" w:eastAsia="仿宋"/>
          <w:b/>
          <w:sz w:val="32"/>
          <w:szCs w:val="32"/>
        </w:rPr>
      </w:pPr>
      <w:r>
        <w:rPr>
          <w:rFonts w:hint="eastAsia" w:ascii="仿宋" w:hAnsi="仿宋" w:eastAsia="仿宋"/>
          <w:b/>
          <w:sz w:val="32"/>
          <w:szCs w:val="32"/>
        </w:rPr>
        <w:t>8.加快社会各项事业投入提振经济发展</w:t>
      </w:r>
    </w:p>
    <w:p>
      <w:pPr>
        <w:ind w:firstLine="640" w:firstLineChars="200"/>
        <w:rPr>
          <w:rFonts w:ascii="仿宋" w:hAnsi="仿宋" w:eastAsia="仿宋"/>
          <w:sz w:val="32"/>
          <w:szCs w:val="32"/>
        </w:rPr>
      </w:pPr>
      <w:r>
        <w:rPr>
          <w:rFonts w:hint="eastAsia" w:ascii="仿宋" w:hAnsi="仿宋" w:eastAsia="仿宋"/>
          <w:sz w:val="32"/>
          <w:szCs w:val="32"/>
        </w:rPr>
        <w:t>全年共投入资金5.2879亿元，其中：用于教育投入11,832万元，包括：公用经费保障5,020万元、基建维修设备购置等6142万元、落实教育资助政策670万元；用于文化、文物、体育及融媒体建设等200万元；用于基本公共卫生服务、公立医院基本药物制度改革、医疗救助、新冠疫情防控等9,519万元；用于公安、司法的经费保障和建设，投入6,056万元。用于老城区征地拆迁补偿和回迁楼改造等6,728万元；用于老旧小区改造工程2,367万元；用于城市道路建设8,862万元;用于农村公路建设养护4,701万元；用于客运站及农村客运候车厅建设432万元；城乡消防能力建设504万元；用于农村饮水安全巩固能力提升项目141万元；用于第三次国土调查及国土资源总体规划编制1,066万元；用于农村集体土地确权登记发证工作450万元；用于谷电蓄热供暖工程PPP项目600万元；用于沙岗镇破损山体治理工程100万元。</w:t>
      </w:r>
    </w:p>
    <w:p>
      <w:pPr>
        <w:pStyle w:val="6"/>
        <w:spacing w:line="560" w:lineRule="atLeast"/>
        <w:ind w:firstLine="640"/>
        <w:rPr>
          <w:rFonts w:ascii="仿宋" w:hAnsi="仿宋" w:eastAsia="仿宋"/>
          <w:color w:val="000000"/>
          <w:sz w:val="32"/>
          <w:szCs w:val="32"/>
        </w:rPr>
      </w:pPr>
    </w:p>
    <w:p>
      <w:pPr>
        <w:ind w:firstLine="640" w:firstLineChars="200"/>
        <w:rPr>
          <w:rFonts w:ascii="仿宋" w:hAnsi="仿宋" w:eastAsia="仿宋"/>
          <w:color w:val="FF0000"/>
          <w:sz w:val="32"/>
          <w:szCs w:val="32"/>
        </w:rPr>
      </w:pPr>
    </w:p>
    <w:p>
      <w:pPr>
        <w:pStyle w:val="6"/>
        <w:spacing w:line="560" w:lineRule="atLeast"/>
        <w:ind w:firstLine="640"/>
        <w:rPr>
          <w:rFonts w:ascii="仿宋_GB2312" w:eastAsia="仿宋_GB2312" w:cs="仿宋_GB2312"/>
          <w:sz w:val="32"/>
          <w:szCs w:val="32"/>
        </w:rPr>
      </w:pPr>
    </w:p>
    <w:p>
      <w:pPr>
        <w:spacing w:line="560" w:lineRule="atLeast"/>
        <w:rPr>
          <w:rFonts w:ascii="黑体" w:hAnsi="黑体" w:eastAsia="黑体"/>
          <w:b/>
          <w:bCs/>
          <w:color w:val="000000" w:themeColor="text1"/>
          <w:sz w:val="36"/>
          <w:szCs w:val="36"/>
        </w:rPr>
      </w:pPr>
      <w:r>
        <w:rPr>
          <w:rFonts w:hint="eastAsia" w:ascii="黑体" w:hAnsi="黑体" w:eastAsia="黑体"/>
          <w:b/>
          <w:bCs/>
          <w:color w:val="000000" w:themeColor="text1"/>
          <w:sz w:val="36"/>
          <w:szCs w:val="36"/>
        </w:rPr>
        <w:t>三、2022年预算（草案）</w:t>
      </w:r>
    </w:p>
    <w:p>
      <w:pPr>
        <w:ind w:firstLine="643" w:firstLineChars="200"/>
        <w:rPr>
          <w:rFonts w:ascii="黑体" w:hAnsi="黑体" w:eastAsia="黑体"/>
          <w:b/>
          <w:color w:val="000000" w:themeColor="text1"/>
          <w:sz w:val="32"/>
          <w:szCs w:val="32"/>
        </w:rPr>
      </w:pPr>
      <w:r>
        <w:rPr>
          <w:rFonts w:hint="eastAsia" w:ascii="黑体" w:hAnsi="黑体" w:eastAsia="黑体"/>
          <w:b/>
          <w:color w:val="000000" w:themeColor="text1"/>
          <w:sz w:val="32"/>
          <w:szCs w:val="32"/>
        </w:rPr>
        <w:t>（一）预算编制的总体要求和基本原则</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2022年编制预算的总体要求是：以习近平新时代中国特色社会主义思想为指导，全面贯彻党的十九大和十九届二中、三中、四中、五中全会精神，坚决落实中央和省委、省政府及市委、市政府决策部署，坚持稳中求进的工作总基调，立足新发展阶段，坚持新发展理念，构建新发展格局，以推动高质量发展为主题，以改革创新为根本动力，以满足人民日益增长的美好生活需要为根本目的，坚持系统观念，统筹发展和安全，聚焦围护国家“五大安全”和补齐“四个短板”，增强财力保障，推动积极的财政政策提质增效，更可持续；加强财政资源统筹，优化支出结构，落实党政机关“过紧日子”要求，扎实做好“六稳”工作，全面落实“六保”任务。深化预算管理制度改革，加快建立预算管理一体化，强化预算约束和绩效管理，提高财政支出效率；加强政府债务管理，抓实化解地方政府隐性债务风险，为盖州经济改革建设提供财政支撑。</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围绕上述要求，2022年预算编制的基本原则：一是实事求是组织收入。二是持续优化支出结构。三是加强财政资源统筹。四是坚持预算绩效导向。五是增强财政政策的稳定性和可持续性。</w:t>
      </w:r>
    </w:p>
    <w:p>
      <w:pPr>
        <w:spacing w:line="560" w:lineRule="atLeast"/>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（二）2022年收入预计和支出安排</w:t>
      </w:r>
    </w:p>
    <w:p>
      <w:pPr>
        <w:spacing w:line="560" w:lineRule="atLeast"/>
        <w:ind w:firstLine="643" w:firstLineChars="200"/>
        <w:rPr>
          <w:rFonts w:ascii="仿宋" w:hAnsi="仿宋" w:eastAsia="仿宋"/>
          <w:b/>
          <w:bCs/>
          <w:sz w:val="32"/>
          <w:szCs w:val="32"/>
        </w:rPr>
      </w:pPr>
      <w:r>
        <w:rPr>
          <w:rFonts w:hint="eastAsia" w:ascii="仿宋" w:hAnsi="仿宋" w:eastAsia="仿宋"/>
          <w:b/>
          <w:bCs/>
          <w:sz w:val="32"/>
          <w:szCs w:val="32"/>
        </w:rPr>
        <w:t>1.一般公共预算</w:t>
      </w:r>
    </w:p>
    <w:p>
      <w:pPr>
        <w:spacing w:line="56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2022年，全市一般公共预算收入计划</w:t>
      </w:r>
      <w:r>
        <w:rPr>
          <w:rFonts w:hint="eastAsia" w:ascii="仿宋" w:hAnsi="仿宋" w:eastAsia="仿宋" w:cs="仿宋_GB2312"/>
          <w:sz w:val="32"/>
          <w:szCs w:val="32"/>
          <w:lang w:val="en-US" w:eastAsia="zh-CN"/>
        </w:rPr>
        <w:t>11.59</w:t>
      </w:r>
      <w:bookmarkStart w:id="0" w:name="_GoBack"/>
      <w:bookmarkEnd w:id="0"/>
      <w:r>
        <w:rPr>
          <w:rFonts w:hint="eastAsia" w:ascii="仿宋" w:hAnsi="仿宋" w:eastAsia="仿宋" w:cs="仿宋_GB2312"/>
          <w:sz w:val="32"/>
          <w:szCs w:val="32"/>
        </w:rPr>
        <w:t>亿元，剔除一次性因素，同比增长</w:t>
      </w:r>
      <w:r>
        <w:rPr>
          <w:rFonts w:hint="eastAsia" w:ascii="仿宋" w:hAnsi="仿宋" w:eastAsia="仿宋" w:cs="仿宋_GB2312"/>
          <w:color w:val="FF0000"/>
          <w:sz w:val="32"/>
          <w:szCs w:val="32"/>
        </w:rPr>
        <w:t>6%。</w:t>
      </w:r>
      <w:r>
        <w:rPr>
          <w:rFonts w:hint="eastAsia" w:ascii="仿宋" w:hAnsi="仿宋" w:eastAsia="仿宋" w:cs="仿宋_GB2312"/>
          <w:sz w:val="32"/>
          <w:szCs w:val="32"/>
        </w:rPr>
        <w:t>其中：税收收入10.18亿元，增长5%；非税收入1.41亿元，剔除一次性因素，</w:t>
      </w:r>
      <w:r>
        <w:rPr>
          <w:rFonts w:hint="eastAsia" w:ascii="仿宋" w:hAnsi="仿宋" w:eastAsia="仿宋" w:cs="仿宋_GB2312"/>
          <w:color w:val="FF0000"/>
          <w:sz w:val="32"/>
          <w:szCs w:val="32"/>
        </w:rPr>
        <w:t>同比增长14.8%。</w:t>
      </w:r>
      <w:r>
        <w:rPr>
          <w:rFonts w:hint="eastAsia" w:ascii="仿宋" w:hAnsi="仿宋" w:eastAsia="仿宋" w:cs="仿宋_GB2312"/>
          <w:sz w:val="32"/>
          <w:szCs w:val="32"/>
        </w:rPr>
        <w:t>上级各项补助收入14.19亿元（上级财力性一般转移支付补助，未含专项性补助），扣除上解支出4.85亿元，可供安排支出的财力规模为21.07亿元，加上年结转财力14.94亿元，总收入36.01亿元。全市一般公共预算支出计划38.97亿元，</w:t>
      </w:r>
      <w:r>
        <w:rPr>
          <w:rFonts w:hint="eastAsia" w:ascii="仿宋" w:hAnsi="仿宋" w:eastAsia="仿宋" w:cs="仿宋_GB2312"/>
          <w:color w:val="FF0000"/>
          <w:sz w:val="32"/>
          <w:szCs w:val="32"/>
        </w:rPr>
        <w:t>财力缺口3.1亿元。</w:t>
      </w:r>
      <w:r>
        <w:rPr>
          <w:rFonts w:hint="eastAsia" w:ascii="仿宋" w:hAnsi="仿宋" w:eastAsia="仿宋" w:cs="仿宋_GB2312"/>
          <w:sz w:val="32"/>
          <w:szCs w:val="32"/>
        </w:rPr>
        <w:t>其中：</w:t>
      </w:r>
    </w:p>
    <w:p>
      <w:pPr>
        <w:spacing w:line="56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盖州市本级一般公共预算收入计划</w:t>
      </w:r>
      <w:r>
        <w:rPr>
          <w:rFonts w:hint="eastAsia" w:ascii="仿宋" w:hAnsi="仿宋" w:eastAsia="仿宋" w:cs="仿宋_GB2312"/>
          <w:color w:val="FF0000"/>
          <w:sz w:val="32"/>
          <w:szCs w:val="32"/>
        </w:rPr>
        <w:t>5.63亿元，增长6.9%。</w:t>
      </w:r>
      <w:r>
        <w:rPr>
          <w:rFonts w:hint="eastAsia" w:ascii="仿宋" w:hAnsi="仿宋" w:eastAsia="仿宋" w:cs="仿宋_GB2312"/>
          <w:sz w:val="32"/>
          <w:szCs w:val="32"/>
        </w:rPr>
        <w:t>加上级财力性补助收入14.56亿元</w:t>
      </w:r>
      <w:r>
        <w:rPr>
          <w:rFonts w:hint="eastAsia" w:ascii="仿宋" w:hAnsi="仿宋" w:eastAsia="仿宋"/>
        </w:rPr>
        <w:t>，</w:t>
      </w:r>
      <w:r>
        <w:rPr>
          <w:rFonts w:hint="eastAsia" w:ascii="仿宋" w:hAnsi="仿宋" w:eastAsia="仿宋" w:cs="仿宋_GB2312"/>
          <w:sz w:val="32"/>
          <w:szCs w:val="32"/>
        </w:rPr>
        <w:t>扣除上解支出3.11元，可供安排支出的财力规模为17.22亿元，加上年结转财力8.8亿元，总收入26.02亿元。一般公共预算支出计划28.98亿元，财力缺口3.1亿元。</w:t>
      </w:r>
    </w:p>
    <w:p>
      <w:pPr>
        <w:spacing w:line="56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仙人岛经济开发区一般公共预算收入计划4.64亿元，剔除一次性因素，增长5.2%。加上级补助收入-0.42亿元，加上年结转财力6.14亿元，减上解支出1.55亿元，可供安排支出的财力规模为8.81亿元。一般公共预算支出安排8.81亿元。</w:t>
      </w:r>
    </w:p>
    <w:p>
      <w:pPr>
        <w:spacing w:line="56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北海经济开发区一般公共预算收入计划1.32亿元，增长5.5%，加上级补助收入0.04亿元，减上解支出0.18亿元，可供安排支出的财力规模为1.18亿元。一般公共预算支出安排1.18亿元 。</w:t>
      </w:r>
    </w:p>
    <w:p>
      <w:pPr>
        <w:spacing w:line="560" w:lineRule="atLeast"/>
        <w:ind w:firstLine="643" w:firstLineChars="200"/>
        <w:rPr>
          <w:rFonts w:ascii="仿宋" w:hAnsi="仿宋" w:eastAsia="仿宋"/>
          <w:b/>
          <w:bCs/>
          <w:sz w:val="32"/>
          <w:szCs w:val="32"/>
        </w:rPr>
      </w:pPr>
      <w:r>
        <w:rPr>
          <w:rFonts w:hint="eastAsia" w:ascii="仿宋" w:hAnsi="仿宋" w:eastAsia="仿宋"/>
          <w:b/>
          <w:bCs/>
          <w:sz w:val="32"/>
          <w:szCs w:val="32"/>
        </w:rPr>
        <w:t>2.政府性基金预算</w:t>
      </w:r>
    </w:p>
    <w:p>
      <w:pPr>
        <w:spacing w:line="56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2022年，全市政府性基金收入计划4.63亿元，主要是国有土地使用权出让收入4.5亿元。全市政府性基金支出4.63亿元。</w:t>
      </w:r>
    </w:p>
    <w:p>
      <w:pPr>
        <w:spacing w:line="560" w:lineRule="atLeast"/>
        <w:ind w:firstLine="643" w:firstLineChars="200"/>
        <w:rPr>
          <w:rFonts w:ascii="仿宋" w:hAnsi="仿宋" w:eastAsia="仿宋"/>
          <w:b/>
          <w:bCs/>
          <w:sz w:val="32"/>
          <w:szCs w:val="32"/>
        </w:rPr>
      </w:pPr>
      <w:r>
        <w:rPr>
          <w:rFonts w:hint="eastAsia" w:ascii="仿宋" w:hAnsi="仿宋" w:eastAsia="仿宋"/>
          <w:b/>
          <w:bCs/>
          <w:sz w:val="32"/>
          <w:szCs w:val="32"/>
        </w:rPr>
        <w:t>3.社会保险基金预算</w:t>
      </w:r>
    </w:p>
    <w:p>
      <w:pPr>
        <w:pStyle w:val="6"/>
        <w:spacing w:line="560" w:lineRule="atLeast"/>
        <w:ind w:firstLine="640"/>
        <w:rPr>
          <w:rFonts w:ascii="仿宋" w:hAnsi="仿宋" w:eastAsia="仿宋" w:cs="仿宋_GB2312"/>
          <w:bCs/>
          <w:sz w:val="32"/>
          <w:szCs w:val="32"/>
        </w:rPr>
      </w:pPr>
      <w:r>
        <w:rPr>
          <w:rFonts w:hint="eastAsia" w:ascii="仿宋" w:hAnsi="仿宋" w:eastAsia="仿宋" w:cs="仿宋_GB2312"/>
          <w:bCs/>
          <w:sz w:val="32"/>
          <w:szCs w:val="32"/>
        </w:rPr>
        <w:t>2022年，全市社会保险基金收入计划4.9亿元。其中：保费收入2.07亿元，上级财政补助收入2.73亿元，转移收入0.1亿元。全市社会保险基金支出8.44亿元。本级财政需补助缺口3.54亿元。</w:t>
      </w:r>
    </w:p>
    <w:p>
      <w:pPr>
        <w:pStyle w:val="6"/>
        <w:spacing w:line="560" w:lineRule="atLeast"/>
        <w:ind w:firstLine="643"/>
        <w:rPr>
          <w:rFonts w:ascii="仿宋" w:hAnsi="仿宋" w:eastAsia="仿宋" w:cs="仿宋_GB2312"/>
          <w:b/>
          <w:bCs/>
          <w:sz w:val="32"/>
          <w:szCs w:val="32"/>
        </w:rPr>
      </w:pPr>
      <w:r>
        <w:rPr>
          <w:rFonts w:hint="eastAsia" w:ascii="仿宋" w:hAnsi="仿宋" w:eastAsia="仿宋" w:cs="仿宋_GB2312"/>
          <w:b/>
          <w:bCs/>
          <w:sz w:val="32"/>
          <w:szCs w:val="32"/>
        </w:rPr>
        <w:t>4.国有资本经营预算</w:t>
      </w:r>
    </w:p>
    <w:p>
      <w:pPr>
        <w:spacing w:line="560" w:lineRule="atLeast"/>
        <w:ind w:firstLine="723" w:firstLineChars="200"/>
        <w:rPr>
          <w:rFonts w:ascii="黑体" w:hAnsi="黑体" w:eastAsia="黑体"/>
          <w:b/>
          <w:bCs/>
          <w:color w:val="000000" w:themeColor="text1"/>
          <w:sz w:val="36"/>
          <w:szCs w:val="36"/>
        </w:rPr>
      </w:pPr>
      <w:r>
        <w:rPr>
          <w:rFonts w:hint="eastAsia" w:ascii="黑体" w:hAnsi="黑体" w:eastAsia="黑体"/>
          <w:b/>
          <w:bCs/>
          <w:color w:val="000000" w:themeColor="text1"/>
          <w:sz w:val="36"/>
          <w:szCs w:val="36"/>
        </w:rPr>
        <w:t>四、2022年财政主要工作</w:t>
      </w:r>
    </w:p>
    <w:p>
      <w:pPr>
        <w:spacing w:line="600" w:lineRule="exact"/>
        <w:ind w:firstLine="635"/>
        <w:jc w:val="left"/>
        <w:rPr>
          <w:rFonts w:ascii="仿宋" w:hAnsi="仿宋" w:eastAsia="仿宋"/>
          <w:color w:val="000000" w:themeColor="text1"/>
          <w:sz w:val="32"/>
          <w:szCs w:val="32"/>
        </w:rPr>
      </w:pPr>
      <w:r>
        <w:rPr>
          <w:rFonts w:hint="eastAsia" w:ascii="仿宋" w:hAnsi="仿宋" w:eastAsia="仿宋" w:cs="仿宋_GB2312"/>
          <w:color w:val="000000" w:themeColor="text1"/>
          <w:sz w:val="32"/>
          <w:szCs w:val="32"/>
        </w:rPr>
        <w:t>2022年是十四五规划第二年，财政工作要坚持稳中求进的工作总基调，全面贯彻落实市委、市政府的决策部署，坚持新发展理念，助力高质量发展，实施预算制度改革，更大力度地做好“六稳”工作、落实“六保”任务，为全市经济社会发展提供财政支撑。</w:t>
      </w:r>
      <w:r>
        <w:rPr>
          <w:rFonts w:hint="eastAsia" w:ascii="仿宋" w:hAnsi="仿宋" w:eastAsia="仿宋"/>
          <w:color w:val="000000" w:themeColor="text1"/>
          <w:sz w:val="32"/>
          <w:szCs w:val="32"/>
        </w:rPr>
        <w:t>为确保2022年预算任务圆满完成，我们将着力抓好以下六方面工作：</w:t>
      </w:r>
    </w:p>
    <w:p>
      <w:pPr>
        <w:numPr>
          <w:ilvl w:val="0"/>
          <w:numId w:val="1"/>
        </w:numPr>
        <w:spacing w:line="600" w:lineRule="exact"/>
        <w:ind w:firstLine="635"/>
        <w:jc w:val="left"/>
        <w:rPr>
          <w:rFonts w:ascii="仿宋" w:hAnsi="仿宋" w:eastAsia="仿宋"/>
          <w:color w:val="000000" w:themeColor="text1"/>
          <w:sz w:val="32"/>
          <w:szCs w:val="32"/>
        </w:rPr>
      </w:pPr>
      <w:r>
        <w:rPr>
          <w:rFonts w:hint="eastAsia" w:ascii="仿宋" w:hAnsi="仿宋" w:eastAsia="仿宋" w:cs="仿宋_GB2312"/>
          <w:b/>
          <w:color w:val="000000" w:themeColor="text1"/>
          <w:sz w:val="32"/>
          <w:szCs w:val="32"/>
        </w:rPr>
        <w:t>大力组织征收，增加财政收入</w:t>
      </w:r>
      <w:r>
        <w:rPr>
          <w:rFonts w:hint="eastAsia" w:ascii="仿宋" w:hAnsi="仿宋" w:eastAsia="仿宋" w:cs="仿宋_GB2312"/>
          <w:b/>
          <w:color w:val="000000" w:themeColor="text1"/>
          <w:sz w:val="32"/>
          <w:szCs w:val="32"/>
          <w:lang w:eastAsia="zh-CN"/>
        </w:rPr>
        <w:t>。</w:t>
      </w:r>
      <w:r>
        <w:rPr>
          <w:rFonts w:hint="eastAsia" w:ascii="仿宋" w:hAnsi="仿宋" w:eastAsia="仿宋" w:cs="仿宋_GB2312"/>
          <w:color w:val="000000" w:themeColor="text1"/>
          <w:sz w:val="32"/>
          <w:szCs w:val="32"/>
        </w:rPr>
        <w:t>一是加大税收征缴力度。强化资源税、土地使用税、耕地占用税等重点税种征管，做到应收尽收；二是</w:t>
      </w:r>
      <w:r>
        <w:rPr>
          <w:rFonts w:hint="eastAsia" w:ascii="仿宋" w:hAnsi="仿宋" w:eastAsia="仿宋"/>
          <w:color w:val="000000" w:themeColor="text1"/>
          <w:sz w:val="32"/>
          <w:szCs w:val="32"/>
        </w:rPr>
        <w:t>加强非税收入征管，实行收支挂钩，强化对污水处理费、水资源使用费、海域使用金等重点费种的征缴，做到应缴尽缴；</w:t>
      </w:r>
      <w:r>
        <w:rPr>
          <w:rFonts w:hint="eastAsia" w:ascii="仿宋" w:hAnsi="仿宋" w:eastAsia="仿宋" w:cs="仿宋_GB2312"/>
          <w:color w:val="000000" w:themeColor="text1"/>
          <w:sz w:val="32"/>
          <w:szCs w:val="32"/>
        </w:rPr>
        <w:t>三是</w:t>
      </w:r>
      <w:r>
        <w:rPr>
          <w:rFonts w:hint="eastAsia" w:ascii="仿宋" w:hAnsi="仿宋" w:eastAsia="仿宋"/>
          <w:color w:val="000000" w:themeColor="text1"/>
          <w:sz w:val="32"/>
          <w:szCs w:val="32"/>
        </w:rPr>
        <w:t>完善乡财政体制改革，实行工资统筹，经费与收入任务挂钩，实行经费定额包干，税收超收分成。四是完善全市上下齐抓共管机制，制定协税护税办法，确保完成收入任务。</w:t>
      </w:r>
    </w:p>
    <w:p>
      <w:pPr>
        <w:ind w:firstLine="630" w:firstLineChars="196"/>
        <w:rPr>
          <w:rFonts w:ascii="仿宋" w:hAnsi="仿宋" w:eastAsia="仿宋"/>
          <w:color w:val="000000"/>
          <w:sz w:val="32"/>
          <w:szCs w:val="32"/>
        </w:rPr>
      </w:pPr>
      <w:r>
        <w:rPr>
          <w:rFonts w:hint="eastAsia" w:ascii="仿宋" w:hAnsi="仿宋" w:eastAsia="仿宋"/>
          <w:b/>
          <w:color w:val="000000" w:themeColor="text1"/>
          <w:sz w:val="32"/>
          <w:szCs w:val="32"/>
        </w:rPr>
        <w:t>2.加大资本动作，增加国有资产（资源）收益。</w:t>
      </w:r>
      <w:r>
        <w:rPr>
          <w:rFonts w:hint="eastAsia" w:ascii="仿宋" w:hAnsi="仿宋" w:eastAsia="仿宋"/>
          <w:color w:val="000000" w:themeColor="text1"/>
          <w:sz w:val="32"/>
          <w:szCs w:val="32"/>
        </w:rPr>
        <w:t>一是</w:t>
      </w:r>
      <w:r>
        <w:rPr>
          <w:rFonts w:hint="eastAsia" w:ascii="仿宋" w:hAnsi="仿宋" w:eastAsia="仿宋" w:cs="仿宋_GB2312"/>
          <w:color w:val="000000" w:themeColor="text1"/>
          <w:sz w:val="32"/>
          <w:szCs w:val="32"/>
        </w:rPr>
        <w:t>通过矿山整合，积极探索石</w:t>
      </w:r>
      <w:r>
        <w:rPr>
          <w:rFonts w:hint="eastAsia" w:ascii="仿宋" w:hAnsi="仿宋" w:eastAsia="仿宋" w:cs="仿宋_GB2312"/>
          <w:color w:val="000000" w:themeColor="text1"/>
          <w:sz w:val="32"/>
          <w:szCs w:val="32"/>
          <w:lang w:eastAsia="zh-CN"/>
        </w:rPr>
        <w:t>材</w:t>
      </w:r>
      <w:r>
        <w:rPr>
          <w:rFonts w:hint="eastAsia" w:ascii="仿宋" w:hAnsi="仿宋" w:eastAsia="仿宋" w:cs="仿宋_GB2312"/>
          <w:color w:val="000000" w:themeColor="text1"/>
          <w:sz w:val="32"/>
          <w:szCs w:val="32"/>
        </w:rPr>
        <w:t>产业园可持续发展的模式，重新确立采矿权经营方式，增加国有资源有偿收入；二是加强对机制砂、温泉水全面整治，实现税费源泉控管，增加财政收入；三是加快以海域使用权为标的的融资途径，以资源换效益，实现融资增收新突破；四是盘活国有存量资产（资源），通过对外招商推介，采取合作、合资等多种形式，实现国有资产保值增收。五是</w:t>
      </w:r>
      <w:r>
        <w:rPr>
          <w:rFonts w:hint="eastAsia" w:ascii="仿宋" w:hAnsi="仿宋" w:eastAsia="仿宋"/>
          <w:color w:val="000000"/>
          <w:sz w:val="32"/>
          <w:szCs w:val="32"/>
        </w:rPr>
        <w:t>完善和发挥国有资产（资源）融资平台作用，积极探索债券发行途径与办法。</w:t>
      </w:r>
    </w:p>
    <w:p>
      <w:pPr>
        <w:ind w:firstLine="630" w:firstLineChars="196"/>
        <w:rPr>
          <w:rFonts w:ascii="仿宋" w:hAnsi="仿宋" w:eastAsia="仿宋"/>
          <w:color w:val="000000"/>
          <w:sz w:val="32"/>
          <w:szCs w:val="32"/>
        </w:rPr>
      </w:pPr>
      <w:r>
        <w:rPr>
          <w:rFonts w:hint="eastAsia" w:ascii="仿宋" w:hAnsi="仿宋" w:eastAsia="仿宋"/>
          <w:b/>
          <w:color w:val="000000"/>
          <w:sz w:val="32"/>
          <w:szCs w:val="32"/>
        </w:rPr>
        <w:t>3. 提高预算管理水平，严格压缩一般性支出。</w:t>
      </w:r>
      <w:r>
        <w:rPr>
          <w:rFonts w:hint="eastAsia" w:ascii="仿宋" w:hAnsi="仿宋" w:eastAsia="仿宋"/>
          <w:color w:val="000000" w:themeColor="text1"/>
          <w:sz w:val="32"/>
          <w:szCs w:val="32"/>
        </w:rPr>
        <w:t>一是全面推进预算管理一体化改革，实行预算绩效及项目库管理，严禁超预算和无预算支出，依法进行预算调整，提升预算执行的约束力；二是加强财政供养人员管理，落实供养实名制，严禁未经审批新增编外人员，全面整顿“吃空饷”及冒领财政资金等现象，全面清查公益岗人员资格，力争三年内基本消化超编财政供养人员；三是执行国库库款预警机制，落实“三保”支出的“定期报告+重点关注”要求，确保工资发放无拖欠；四是推进预算绩效管理，将绩效评价融入预算管理全过程，保证财政资金使用效益；五是贯彻落实“过紧日子”的通知要求，严控</w:t>
      </w:r>
      <w:r>
        <w:rPr>
          <w:rFonts w:hint="eastAsia" w:ascii="仿宋" w:hAnsi="仿宋" w:eastAsia="仿宋"/>
          <w:color w:val="000000"/>
          <w:sz w:val="32"/>
          <w:szCs w:val="32"/>
        </w:rPr>
        <w:t>“三公”经费等一般性支出，努力降低行政成本；</w:t>
      </w:r>
      <w:r>
        <w:rPr>
          <w:rFonts w:hint="eastAsia" w:ascii="仿宋" w:hAnsi="仿宋" w:eastAsia="仿宋"/>
          <w:color w:val="FF0000"/>
          <w:sz w:val="32"/>
          <w:szCs w:val="32"/>
        </w:rPr>
        <w:t>六是规范政府采购管理，理顺采购监管职能，提高采购效益；七是完善公务卡结算制度，提高公务支出透明度；八是清理财政及部门预算结余资金，统筹财政资金使用；九是落实公务用车改革的规定，逐步推进公务用车保险、维修、用油等集采事项。</w:t>
      </w:r>
    </w:p>
    <w:p>
      <w:pPr>
        <w:ind w:firstLine="630" w:firstLineChars="196"/>
        <w:rPr>
          <w:rFonts w:ascii="仿宋" w:hAnsi="仿宋" w:eastAsia="仿宋"/>
          <w:color w:val="000000"/>
          <w:sz w:val="32"/>
          <w:szCs w:val="32"/>
        </w:rPr>
      </w:pPr>
      <w:r>
        <w:rPr>
          <w:rFonts w:hint="eastAsia" w:ascii="仿宋" w:hAnsi="仿宋" w:eastAsia="仿宋"/>
          <w:b/>
          <w:color w:val="000000"/>
          <w:sz w:val="32"/>
          <w:szCs w:val="32"/>
        </w:rPr>
        <w:t>4. 支持乡村振兴建设，落实惠农惠民政策。</w:t>
      </w:r>
      <w:r>
        <w:rPr>
          <w:rFonts w:hint="eastAsia" w:ascii="仿宋" w:hAnsi="仿宋" w:eastAsia="仿宋"/>
          <w:color w:val="000000"/>
          <w:sz w:val="32"/>
          <w:szCs w:val="32"/>
        </w:rPr>
        <w:t>一是进一步加大“三农”投入力度，增加农民收入，增加统筹城乡发展能力；二是认真落实惠农补贴，继续鼓励涉农贷款，促进农民增收，调动农民生产积极性；三是加强农业农村基础设施建设，加大农业建设和乡村环境整治支持力度，不断改善农业生产条件；四是推进农村综合改革力度，积极抓好“一事一议”财政奖补工作，推进村级公益事业建议。</w:t>
      </w:r>
    </w:p>
    <w:p>
      <w:pPr>
        <w:ind w:firstLine="630" w:firstLineChars="196"/>
        <w:rPr>
          <w:rFonts w:ascii="仿宋" w:hAnsi="仿宋" w:eastAsia="仿宋"/>
          <w:color w:val="000000"/>
          <w:sz w:val="32"/>
          <w:szCs w:val="32"/>
        </w:rPr>
      </w:pPr>
      <w:r>
        <w:rPr>
          <w:rFonts w:hint="eastAsia" w:ascii="仿宋" w:hAnsi="仿宋" w:eastAsia="仿宋"/>
          <w:b/>
          <w:color w:val="000000"/>
          <w:sz w:val="32"/>
          <w:szCs w:val="32"/>
        </w:rPr>
        <w:t>5.打好“三大”攻坚战，防范金融风险。</w:t>
      </w:r>
      <w:r>
        <w:rPr>
          <w:rFonts w:hint="eastAsia" w:ascii="仿宋" w:hAnsi="仿宋" w:eastAsia="仿宋"/>
          <w:color w:val="000000"/>
          <w:sz w:val="32"/>
          <w:szCs w:val="32"/>
        </w:rPr>
        <w:t>一是</w:t>
      </w:r>
      <w:r>
        <w:rPr>
          <w:rFonts w:hint="eastAsia" w:ascii="仿宋" w:hAnsi="仿宋" w:eastAsia="仿宋"/>
          <w:sz w:val="32"/>
          <w:szCs w:val="32"/>
        </w:rPr>
        <w:t>积极争取“一地一案”省建制县化债试点，防范化解债务风险；</w:t>
      </w:r>
      <w:r>
        <w:rPr>
          <w:rFonts w:hint="eastAsia" w:ascii="inherit" w:hAnsi="inherit" w:eastAsia="仿宋"/>
          <w:color w:val="000000"/>
          <w:sz w:val="32"/>
          <w:szCs w:val="32"/>
        </w:rPr>
        <w:t> </w:t>
      </w:r>
      <w:r>
        <w:rPr>
          <w:rFonts w:hint="eastAsia" w:ascii="仿宋" w:hAnsi="仿宋" w:eastAsia="仿宋"/>
          <w:color w:val="000000"/>
          <w:sz w:val="32"/>
          <w:szCs w:val="32"/>
        </w:rPr>
        <w:t>二是强化财政扶贫资金管理，</w:t>
      </w:r>
      <w:r>
        <w:rPr>
          <w:rFonts w:hint="eastAsia" w:ascii="仿宋" w:hAnsi="仿宋" w:eastAsia="仿宋"/>
          <w:sz w:val="32"/>
          <w:szCs w:val="32"/>
        </w:rPr>
        <w:t>从注重脱贫进度向巩固提高转变；</w:t>
      </w:r>
      <w:r>
        <w:rPr>
          <w:rFonts w:hint="eastAsia" w:ascii="仿宋" w:hAnsi="仿宋" w:eastAsia="仿宋"/>
          <w:color w:val="000000"/>
          <w:sz w:val="32"/>
          <w:szCs w:val="32"/>
        </w:rPr>
        <w:t>三是</w:t>
      </w:r>
      <w:r>
        <w:rPr>
          <w:rFonts w:hint="eastAsia" w:ascii="仿宋" w:hAnsi="仿宋" w:eastAsia="仿宋"/>
          <w:sz w:val="32"/>
          <w:szCs w:val="32"/>
        </w:rPr>
        <w:t>利用财政专项资金和相关政策，加大财政投入力度，建全生态补偿机制，支持污染防治攻坚战取得成效；</w:t>
      </w:r>
      <w:r>
        <w:rPr>
          <w:rFonts w:hint="eastAsia" w:ascii="仿宋" w:hAnsi="仿宋" w:eastAsia="仿宋"/>
          <w:color w:val="000000"/>
          <w:sz w:val="32"/>
          <w:szCs w:val="32"/>
        </w:rPr>
        <w:t>四是完善金融风险应急预案机制，确保不发生系统性风险。</w:t>
      </w:r>
    </w:p>
    <w:p>
      <w:pPr>
        <w:ind w:firstLine="630" w:firstLineChars="196"/>
        <w:rPr>
          <w:rFonts w:ascii="仿宋" w:hAnsi="仿宋" w:eastAsia="仿宋"/>
          <w:color w:val="000000"/>
          <w:sz w:val="32"/>
          <w:szCs w:val="32"/>
        </w:rPr>
      </w:pPr>
      <w:r>
        <w:rPr>
          <w:rFonts w:hint="eastAsia" w:ascii="仿宋" w:hAnsi="仿宋" w:eastAsia="仿宋"/>
          <w:b/>
          <w:color w:val="000000"/>
          <w:sz w:val="32"/>
          <w:szCs w:val="32"/>
        </w:rPr>
        <w:t>6.强化财政监督，规范财经秩序。</w:t>
      </w:r>
      <w:r>
        <w:rPr>
          <w:rFonts w:hint="eastAsia" w:ascii="仿宋" w:hAnsi="仿宋" w:eastAsia="仿宋"/>
          <w:color w:val="000000"/>
          <w:sz w:val="32"/>
          <w:szCs w:val="32"/>
        </w:rPr>
        <w:t>一是进一步强化财政监管机制，贯彻落实税费优惠政策工作，建立健全考核财政资金使用制度，切实提高财政资金使用效益。二是加强国有资产的管理，完善国有资产出租及处置，盘活政府存量资产，健全国有资产管理报告制度，保障国有资产的安全。三是继续开展会计质量检查，加强“小金库”专项治理，规范预算单位财务行为，提高核算水平。四是组织壮大村集体经济专项检查，不断扩大财政监督范围，强化监管机制建设。五是主动接受人大和审计监督，规范财政管理。</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各位代表：面对严峻复杂的经济形势和艰巨繁重的财政任务，我们将在市委、市政府的坚强领导下，在市人监督指导下，认真贯彻本次会议的审议意见，勇于挡当，真抓实干，全面推动财政改革发展的各项工作，为完成盖州经济社会发展的目标任务，做出新的更大的贡献。</w:t>
      </w:r>
    </w:p>
    <w:sectPr>
      <w:headerReference r:id="rId3" w:type="default"/>
      <w:footerReference r:id="rId4" w:type="default"/>
      <w:footerReference r:id="rId5" w:type="even"/>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165F"/>
    <w:multiLevelType w:val="singleLevel"/>
    <w:tmpl w:val="287B165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6467"/>
    <w:rsid w:val="000047E7"/>
    <w:rsid w:val="00004C28"/>
    <w:rsid w:val="00006625"/>
    <w:rsid w:val="000072EE"/>
    <w:rsid w:val="00011CFC"/>
    <w:rsid w:val="000163F1"/>
    <w:rsid w:val="00023E58"/>
    <w:rsid w:val="00024930"/>
    <w:rsid w:val="0003119B"/>
    <w:rsid w:val="000348A9"/>
    <w:rsid w:val="0003565F"/>
    <w:rsid w:val="00035F95"/>
    <w:rsid w:val="000373B3"/>
    <w:rsid w:val="0004198D"/>
    <w:rsid w:val="00042219"/>
    <w:rsid w:val="00042422"/>
    <w:rsid w:val="00042724"/>
    <w:rsid w:val="000439B9"/>
    <w:rsid w:val="00043B18"/>
    <w:rsid w:val="00046088"/>
    <w:rsid w:val="0004692A"/>
    <w:rsid w:val="00047EC6"/>
    <w:rsid w:val="00051112"/>
    <w:rsid w:val="00052054"/>
    <w:rsid w:val="00052DB8"/>
    <w:rsid w:val="0005300F"/>
    <w:rsid w:val="00053AA1"/>
    <w:rsid w:val="000543F4"/>
    <w:rsid w:val="000557F5"/>
    <w:rsid w:val="00055DF5"/>
    <w:rsid w:val="0006085A"/>
    <w:rsid w:val="00060D24"/>
    <w:rsid w:val="0006138E"/>
    <w:rsid w:val="000615DB"/>
    <w:rsid w:val="00061893"/>
    <w:rsid w:val="0006280E"/>
    <w:rsid w:val="00063C65"/>
    <w:rsid w:val="000644A6"/>
    <w:rsid w:val="000656FE"/>
    <w:rsid w:val="00065E68"/>
    <w:rsid w:val="00065FA6"/>
    <w:rsid w:val="0007074E"/>
    <w:rsid w:val="0007191D"/>
    <w:rsid w:val="00072794"/>
    <w:rsid w:val="000760AF"/>
    <w:rsid w:val="00077E59"/>
    <w:rsid w:val="00083907"/>
    <w:rsid w:val="00084D62"/>
    <w:rsid w:val="000853F5"/>
    <w:rsid w:val="00085AE7"/>
    <w:rsid w:val="00085D60"/>
    <w:rsid w:val="00091686"/>
    <w:rsid w:val="000949CC"/>
    <w:rsid w:val="000954DF"/>
    <w:rsid w:val="00095B53"/>
    <w:rsid w:val="00096DEA"/>
    <w:rsid w:val="0009751F"/>
    <w:rsid w:val="00097E05"/>
    <w:rsid w:val="000A0BB8"/>
    <w:rsid w:val="000A0CB5"/>
    <w:rsid w:val="000A21BD"/>
    <w:rsid w:val="000A24FC"/>
    <w:rsid w:val="000A32F7"/>
    <w:rsid w:val="000A43E9"/>
    <w:rsid w:val="000A4B7E"/>
    <w:rsid w:val="000A7B13"/>
    <w:rsid w:val="000A7D93"/>
    <w:rsid w:val="000B2022"/>
    <w:rsid w:val="000B3124"/>
    <w:rsid w:val="000B32FB"/>
    <w:rsid w:val="000B3F10"/>
    <w:rsid w:val="000B51D6"/>
    <w:rsid w:val="000B689A"/>
    <w:rsid w:val="000C0131"/>
    <w:rsid w:val="000C2A64"/>
    <w:rsid w:val="000C3595"/>
    <w:rsid w:val="000C5620"/>
    <w:rsid w:val="000C5DD7"/>
    <w:rsid w:val="000D1833"/>
    <w:rsid w:val="000D5448"/>
    <w:rsid w:val="000D5805"/>
    <w:rsid w:val="000D5995"/>
    <w:rsid w:val="000D5FDC"/>
    <w:rsid w:val="000D76BA"/>
    <w:rsid w:val="000E38BD"/>
    <w:rsid w:val="000E4991"/>
    <w:rsid w:val="000E4CFC"/>
    <w:rsid w:val="000F032C"/>
    <w:rsid w:val="000F1DA9"/>
    <w:rsid w:val="000F3239"/>
    <w:rsid w:val="000F6077"/>
    <w:rsid w:val="000F6476"/>
    <w:rsid w:val="000F68E5"/>
    <w:rsid w:val="000F7636"/>
    <w:rsid w:val="001015BD"/>
    <w:rsid w:val="00101F47"/>
    <w:rsid w:val="00102067"/>
    <w:rsid w:val="0010290A"/>
    <w:rsid w:val="00103BAE"/>
    <w:rsid w:val="00103F12"/>
    <w:rsid w:val="00104117"/>
    <w:rsid w:val="00110B7E"/>
    <w:rsid w:val="00114BFA"/>
    <w:rsid w:val="0011616D"/>
    <w:rsid w:val="00126890"/>
    <w:rsid w:val="00127143"/>
    <w:rsid w:val="0012791C"/>
    <w:rsid w:val="001313EA"/>
    <w:rsid w:val="001345EF"/>
    <w:rsid w:val="00137550"/>
    <w:rsid w:val="00137E90"/>
    <w:rsid w:val="00143828"/>
    <w:rsid w:val="00144CDE"/>
    <w:rsid w:val="00146467"/>
    <w:rsid w:val="001500BE"/>
    <w:rsid w:val="00152D82"/>
    <w:rsid w:val="001530E0"/>
    <w:rsid w:val="00155111"/>
    <w:rsid w:val="0015597E"/>
    <w:rsid w:val="00156AA9"/>
    <w:rsid w:val="00156DA3"/>
    <w:rsid w:val="00160102"/>
    <w:rsid w:val="00160662"/>
    <w:rsid w:val="00161FEA"/>
    <w:rsid w:val="001634DC"/>
    <w:rsid w:val="00164681"/>
    <w:rsid w:val="00166E9F"/>
    <w:rsid w:val="00170C66"/>
    <w:rsid w:val="00170E74"/>
    <w:rsid w:val="00171313"/>
    <w:rsid w:val="00174381"/>
    <w:rsid w:val="00174C4E"/>
    <w:rsid w:val="001754F3"/>
    <w:rsid w:val="001762E6"/>
    <w:rsid w:val="00177566"/>
    <w:rsid w:val="00177B2C"/>
    <w:rsid w:val="00177B3F"/>
    <w:rsid w:val="001806F7"/>
    <w:rsid w:val="00181885"/>
    <w:rsid w:val="001826F5"/>
    <w:rsid w:val="00182958"/>
    <w:rsid w:val="00183052"/>
    <w:rsid w:val="00184093"/>
    <w:rsid w:val="00185E31"/>
    <w:rsid w:val="00187E40"/>
    <w:rsid w:val="001954E3"/>
    <w:rsid w:val="00195664"/>
    <w:rsid w:val="001963AB"/>
    <w:rsid w:val="001A2278"/>
    <w:rsid w:val="001A52E1"/>
    <w:rsid w:val="001A6815"/>
    <w:rsid w:val="001A697B"/>
    <w:rsid w:val="001A7DBB"/>
    <w:rsid w:val="001B102B"/>
    <w:rsid w:val="001B10CD"/>
    <w:rsid w:val="001B24AA"/>
    <w:rsid w:val="001B29EA"/>
    <w:rsid w:val="001B4892"/>
    <w:rsid w:val="001B5127"/>
    <w:rsid w:val="001B65C4"/>
    <w:rsid w:val="001B6F52"/>
    <w:rsid w:val="001B7120"/>
    <w:rsid w:val="001B7878"/>
    <w:rsid w:val="001C1287"/>
    <w:rsid w:val="001C3AEE"/>
    <w:rsid w:val="001C43E7"/>
    <w:rsid w:val="001C559E"/>
    <w:rsid w:val="001C7B0C"/>
    <w:rsid w:val="001D1231"/>
    <w:rsid w:val="001D1382"/>
    <w:rsid w:val="001D2375"/>
    <w:rsid w:val="001D2826"/>
    <w:rsid w:val="001D3379"/>
    <w:rsid w:val="001D4FD8"/>
    <w:rsid w:val="001D60DA"/>
    <w:rsid w:val="001D699D"/>
    <w:rsid w:val="001D7C7C"/>
    <w:rsid w:val="001E171E"/>
    <w:rsid w:val="001E4975"/>
    <w:rsid w:val="001E628C"/>
    <w:rsid w:val="001E703D"/>
    <w:rsid w:val="001E7AAA"/>
    <w:rsid w:val="001F1C97"/>
    <w:rsid w:val="001F4840"/>
    <w:rsid w:val="001F7951"/>
    <w:rsid w:val="00200AF6"/>
    <w:rsid w:val="0020462C"/>
    <w:rsid w:val="00211D2C"/>
    <w:rsid w:val="00212B1E"/>
    <w:rsid w:val="00213AC1"/>
    <w:rsid w:val="00214A41"/>
    <w:rsid w:val="00214BE4"/>
    <w:rsid w:val="00221393"/>
    <w:rsid w:val="00222073"/>
    <w:rsid w:val="00223B44"/>
    <w:rsid w:val="00225039"/>
    <w:rsid w:val="00227803"/>
    <w:rsid w:val="002332F8"/>
    <w:rsid w:val="00234867"/>
    <w:rsid w:val="002348DB"/>
    <w:rsid w:val="002356BA"/>
    <w:rsid w:val="00235948"/>
    <w:rsid w:val="0023707F"/>
    <w:rsid w:val="002374A0"/>
    <w:rsid w:val="00244D20"/>
    <w:rsid w:val="00244D67"/>
    <w:rsid w:val="0024537C"/>
    <w:rsid w:val="00247246"/>
    <w:rsid w:val="002509A5"/>
    <w:rsid w:val="00250CDA"/>
    <w:rsid w:val="002534DE"/>
    <w:rsid w:val="00256B0C"/>
    <w:rsid w:val="00256BF0"/>
    <w:rsid w:val="00257EE0"/>
    <w:rsid w:val="00260953"/>
    <w:rsid w:val="00260C3A"/>
    <w:rsid w:val="002670FA"/>
    <w:rsid w:val="0027003C"/>
    <w:rsid w:val="00270B41"/>
    <w:rsid w:val="00270D38"/>
    <w:rsid w:val="0027138B"/>
    <w:rsid w:val="00283531"/>
    <w:rsid w:val="00293378"/>
    <w:rsid w:val="002A293F"/>
    <w:rsid w:val="002A2AB2"/>
    <w:rsid w:val="002A4070"/>
    <w:rsid w:val="002A48AC"/>
    <w:rsid w:val="002A503D"/>
    <w:rsid w:val="002A5DB9"/>
    <w:rsid w:val="002A74DB"/>
    <w:rsid w:val="002B0765"/>
    <w:rsid w:val="002B2C1E"/>
    <w:rsid w:val="002B5815"/>
    <w:rsid w:val="002C1B61"/>
    <w:rsid w:val="002C2DE4"/>
    <w:rsid w:val="002C32E2"/>
    <w:rsid w:val="002C37AD"/>
    <w:rsid w:val="002C4FE7"/>
    <w:rsid w:val="002C66B7"/>
    <w:rsid w:val="002D113F"/>
    <w:rsid w:val="002D115E"/>
    <w:rsid w:val="002D211C"/>
    <w:rsid w:val="002D3364"/>
    <w:rsid w:val="002D3F35"/>
    <w:rsid w:val="002D4299"/>
    <w:rsid w:val="002D437A"/>
    <w:rsid w:val="002D55B0"/>
    <w:rsid w:val="002E305C"/>
    <w:rsid w:val="002E3B4A"/>
    <w:rsid w:val="002E5327"/>
    <w:rsid w:val="002E6CE1"/>
    <w:rsid w:val="002F0167"/>
    <w:rsid w:val="002F0C0A"/>
    <w:rsid w:val="002F1813"/>
    <w:rsid w:val="002F1BAF"/>
    <w:rsid w:val="002F1CBB"/>
    <w:rsid w:val="002F53E9"/>
    <w:rsid w:val="002F6526"/>
    <w:rsid w:val="00304BC7"/>
    <w:rsid w:val="0030599D"/>
    <w:rsid w:val="00305A99"/>
    <w:rsid w:val="003079C2"/>
    <w:rsid w:val="00307EAB"/>
    <w:rsid w:val="00310E54"/>
    <w:rsid w:val="00310F02"/>
    <w:rsid w:val="00311F0A"/>
    <w:rsid w:val="003142BC"/>
    <w:rsid w:val="003147DB"/>
    <w:rsid w:val="00314DC0"/>
    <w:rsid w:val="00316CBC"/>
    <w:rsid w:val="003214D6"/>
    <w:rsid w:val="00321956"/>
    <w:rsid w:val="00322E2F"/>
    <w:rsid w:val="003234EB"/>
    <w:rsid w:val="00326801"/>
    <w:rsid w:val="00326BFF"/>
    <w:rsid w:val="0032705D"/>
    <w:rsid w:val="0032742A"/>
    <w:rsid w:val="00327AD6"/>
    <w:rsid w:val="0033073F"/>
    <w:rsid w:val="00331103"/>
    <w:rsid w:val="00332D0F"/>
    <w:rsid w:val="003359AF"/>
    <w:rsid w:val="0033618A"/>
    <w:rsid w:val="0034149C"/>
    <w:rsid w:val="00342D0B"/>
    <w:rsid w:val="00342E59"/>
    <w:rsid w:val="00344E6C"/>
    <w:rsid w:val="00344F20"/>
    <w:rsid w:val="003455C2"/>
    <w:rsid w:val="003467EF"/>
    <w:rsid w:val="00346FB7"/>
    <w:rsid w:val="00350B20"/>
    <w:rsid w:val="00351CC6"/>
    <w:rsid w:val="003526B0"/>
    <w:rsid w:val="003538C9"/>
    <w:rsid w:val="00353CB4"/>
    <w:rsid w:val="00355C95"/>
    <w:rsid w:val="003638C6"/>
    <w:rsid w:val="0036457E"/>
    <w:rsid w:val="003649A2"/>
    <w:rsid w:val="00366699"/>
    <w:rsid w:val="00367262"/>
    <w:rsid w:val="003676B1"/>
    <w:rsid w:val="003701AC"/>
    <w:rsid w:val="00371155"/>
    <w:rsid w:val="003716AA"/>
    <w:rsid w:val="003741C4"/>
    <w:rsid w:val="0038017F"/>
    <w:rsid w:val="003827AF"/>
    <w:rsid w:val="003833ED"/>
    <w:rsid w:val="00385703"/>
    <w:rsid w:val="00387134"/>
    <w:rsid w:val="00387352"/>
    <w:rsid w:val="00390261"/>
    <w:rsid w:val="003929FB"/>
    <w:rsid w:val="0039370D"/>
    <w:rsid w:val="003A017F"/>
    <w:rsid w:val="003A0A11"/>
    <w:rsid w:val="003A3BCC"/>
    <w:rsid w:val="003A5117"/>
    <w:rsid w:val="003B43B4"/>
    <w:rsid w:val="003B4506"/>
    <w:rsid w:val="003B560E"/>
    <w:rsid w:val="003B703D"/>
    <w:rsid w:val="003C04F4"/>
    <w:rsid w:val="003C2899"/>
    <w:rsid w:val="003C4F89"/>
    <w:rsid w:val="003C55B7"/>
    <w:rsid w:val="003C642A"/>
    <w:rsid w:val="003C68CD"/>
    <w:rsid w:val="003C7E2B"/>
    <w:rsid w:val="003D23D4"/>
    <w:rsid w:val="003D610F"/>
    <w:rsid w:val="003D7543"/>
    <w:rsid w:val="003E075F"/>
    <w:rsid w:val="003E277B"/>
    <w:rsid w:val="003E3121"/>
    <w:rsid w:val="003E3ACB"/>
    <w:rsid w:val="003E5A0A"/>
    <w:rsid w:val="003E5C3B"/>
    <w:rsid w:val="003E7A22"/>
    <w:rsid w:val="003E7B82"/>
    <w:rsid w:val="003E7CCA"/>
    <w:rsid w:val="003F07E6"/>
    <w:rsid w:val="003F159A"/>
    <w:rsid w:val="003F3357"/>
    <w:rsid w:val="003F6834"/>
    <w:rsid w:val="003F756D"/>
    <w:rsid w:val="003F786F"/>
    <w:rsid w:val="003F7D57"/>
    <w:rsid w:val="004022E9"/>
    <w:rsid w:val="00403CEF"/>
    <w:rsid w:val="00404255"/>
    <w:rsid w:val="00406CF8"/>
    <w:rsid w:val="00412EA5"/>
    <w:rsid w:val="00413262"/>
    <w:rsid w:val="00414178"/>
    <w:rsid w:val="00420CDD"/>
    <w:rsid w:val="004225F0"/>
    <w:rsid w:val="004240BD"/>
    <w:rsid w:val="00425805"/>
    <w:rsid w:val="0043016E"/>
    <w:rsid w:val="004308AB"/>
    <w:rsid w:val="0043172D"/>
    <w:rsid w:val="00431F71"/>
    <w:rsid w:val="00434D1E"/>
    <w:rsid w:val="00434E82"/>
    <w:rsid w:val="0043797A"/>
    <w:rsid w:val="004379DB"/>
    <w:rsid w:val="00437B67"/>
    <w:rsid w:val="00437F04"/>
    <w:rsid w:val="00440089"/>
    <w:rsid w:val="00440D21"/>
    <w:rsid w:val="0044283E"/>
    <w:rsid w:val="00444DB6"/>
    <w:rsid w:val="00444EB3"/>
    <w:rsid w:val="0044517B"/>
    <w:rsid w:val="00445198"/>
    <w:rsid w:val="00447FDB"/>
    <w:rsid w:val="00454625"/>
    <w:rsid w:val="00455AC2"/>
    <w:rsid w:val="00456158"/>
    <w:rsid w:val="00457A23"/>
    <w:rsid w:val="00460298"/>
    <w:rsid w:val="00461299"/>
    <w:rsid w:val="0046145D"/>
    <w:rsid w:val="00461EE9"/>
    <w:rsid w:val="00463F20"/>
    <w:rsid w:val="004666A4"/>
    <w:rsid w:val="00466DEA"/>
    <w:rsid w:val="0046727E"/>
    <w:rsid w:val="00470FE8"/>
    <w:rsid w:val="00471540"/>
    <w:rsid w:val="0047295D"/>
    <w:rsid w:val="004729D4"/>
    <w:rsid w:val="00472F09"/>
    <w:rsid w:val="00474D21"/>
    <w:rsid w:val="00475396"/>
    <w:rsid w:val="0048092D"/>
    <w:rsid w:val="0048235A"/>
    <w:rsid w:val="00482DE3"/>
    <w:rsid w:val="00483C1F"/>
    <w:rsid w:val="0049066D"/>
    <w:rsid w:val="00490A04"/>
    <w:rsid w:val="00493362"/>
    <w:rsid w:val="0049452A"/>
    <w:rsid w:val="00494895"/>
    <w:rsid w:val="00494B48"/>
    <w:rsid w:val="00495392"/>
    <w:rsid w:val="004955CF"/>
    <w:rsid w:val="004959FD"/>
    <w:rsid w:val="00495E50"/>
    <w:rsid w:val="004962E1"/>
    <w:rsid w:val="00496644"/>
    <w:rsid w:val="004A020C"/>
    <w:rsid w:val="004A036B"/>
    <w:rsid w:val="004A0E1A"/>
    <w:rsid w:val="004A255E"/>
    <w:rsid w:val="004A3399"/>
    <w:rsid w:val="004B0B0A"/>
    <w:rsid w:val="004B0BCC"/>
    <w:rsid w:val="004B2086"/>
    <w:rsid w:val="004B264E"/>
    <w:rsid w:val="004B333A"/>
    <w:rsid w:val="004B3E13"/>
    <w:rsid w:val="004B4AAA"/>
    <w:rsid w:val="004B64BA"/>
    <w:rsid w:val="004C103D"/>
    <w:rsid w:val="004C1EDB"/>
    <w:rsid w:val="004C4804"/>
    <w:rsid w:val="004C6DDE"/>
    <w:rsid w:val="004C7133"/>
    <w:rsid w:val="004D075D"/>
    <w:rsid w:val="004D1B20"/>
    <w:rsid w:val="004D2163"/>
    <w:rsid w:val="004D2D27"/>
    <w:rsid w:val="004D3847"/>
    <w:rsid w:val="004D3D3E"/>
    <w:rsid w:val="004D40F0"/>
    <w:rsid w:val="004D5684"/>
    <w:rsid w:val="004D5BB3"/>
    <w:rsid w:val="004E0CE3"/>
    <w:rsid w:val="004E0E89"/>
    <w:rsid w:val="004E2299"/>
    <w:rsid w:val="004E321A"/>
    <w:rsid w:val="004E366B"/>
    <w:rsid w:val="004E5877"/>
    <w:rsid w:val="004E7200"/>
    <w:rsid w:val="004F081F"/>
    <w:rsid w:val="004F1638"/>
    <w:rsid w:val="004F1BA5"/>
    <w:rsid w:val="004F1C58"/>
    <w:rsid w:val="004F2431"/>
    <w:rsid w:val="004F3685"/>
    <w:rsid w:val="004F3E40"/>
    <w:rsid w:val="004F6C9F"/>
    <w:rsid w:val="004F7A65"/>
    <w:rsid w:val="00500258"/>
    <w:rsid w:val="00501045"/>
    <w:rsid w:val="00504F48"/>
    <w:rsid w:val="00506748"/>
    <w:rsid w:val="00506C12"/>
    <w:rsid w:val="00506FAB"/>
    <w:rsid w:val="005118C6"/>
    <w:rsid w:val="00511958"/>
    <w:rsid w:val="005124CF"/>
    <w:rsid w:val="00512660"/>
    <w:rsid w:val="00512AC4"/>
    <w:rsid w:val="005139C6"/>
    <w:rsid w:val="0051436C"/>
    <w:rsid w:val="00523B3C"/>
    <w:rsid w:val="00523B4F"/>
    <w:rsid w:val="00530A36"/>
    <w:rsid w:val="005316DB"/>
    <w:rsid w:val="00532BE1"/>
    <w:rsid w:val="0053315F"/>
    <w:rsid w:val="005331BD"/>
    <w:rsid w:val="0053404A"/>
    <w:rsid w:val="005341BC"/>
    <w:rsid w:val="005405F5"/>
    <w:rsid w:val="0054083C"/>
    <w:rsid w:val="005446F0"/>
    <w:rsid w:val="00546EE7"/>
    <w:rsid w:val="005504F2"/>
    <w:rsid w:val="005510E3"/>
    <w:rsid w:val="005570DD"/>
    <w:rsid w:val="00557AF6"/>
    <w:rsid w:val="00560813"/>
    <w:rsid w:val="0056291E"/>
    <w:rsid w:val="00562B7F"/>
    <w:rsid w:val="00563AC1"/>
    <w:rsid w:val="00564783"/>
    <w:rsid w:val="00565E97"/>
    <w:rsid w:val="00571A56"/>
    <w:rsid w:val="00573B8F"/>
    <w:rsid w:val="00574070"/>
    <w:rsid w:val="00574B06"/>
    <w:rsid w:val="00575E57"/>
    <w:rsid w:val="00576702"/>
    <w:rsid w:val="00576882"/>
    <w:rsid w:val="00577453"/>
    <w:rsid w:val="00577610"/>
    <w:rsid w:val="00580CCE"/>
    <w:rsid w:val="00583F96"/>
    <w:rsid w:val="00584DE6"/>
    <w:rsid w:val="005873E6"/>
    <w:rsid w:val="005907C9"/>
    <w:rsid w:val="005A078B"/>
    <w:rsid w:val="005A18C0"/>
    <w:rsid w:val="005A337F"/>
    <w:rsid w:val="005A4EC5"/>
    <w:rsid w:val="005A6C0E"/>
    <w:rsid w:val="005B18C5"/>
    <w:rsid w:val="005B339B"/>
    <w:rsid w:val="005B3A85"/>
    <w:rsid w:val="005B6EFE"/>
    <w:rsid w:val="005B6FC4"/>
    <w:rsid w:val="005B717A"/>
    <w:rsid w:val="005B7B5A"/>
    <w:rsid w:val="005C1362"/>
    <w:rsid w:val="005C1398"/>
    <w:rsid w:val="005C148B"/>
    <w:rsid w:val="005C1D8E"/>
    <w:rsid w:val="005C2AF8"/>
    <w:rsid w:val="005C2D73"/>
    <w:rsid w:val="005D582C"/>
    <w:rsid w:val="005D5BB8"/>
    <w:rsid w:val="005D6E16"/>
    <w:rsid w:val="005D7F99"/>
    <w:rsid w:val="005E018E"/>
    <w:rsid w:val="005E0493"/>
    <w:rsid w:val="005E2B94"/>
    <w:rsid w:val="005E2E69"/>
    <w:rsid w:val="005E30FD"/>
    <w:rsid w:val="005E35CC"/>
    <w:rsid w:val="005E5808"/>
    <w:rsid w:val="005E69B5"/>
    <w:rsid w:val="005E7017"/>
    <w:rsid w:val="005E7D87"/>
    <w:rsid w:val="005F0740"/>
    <w:rsid w:val="005F1A3A"/>
    <w:rsid w:val="005F1B44"/>
    <w:rsid w:val="005F37C1"/>
    <w:rsid w:val="005F38F3"/>
    <w:rsid w:val="005F589B"/>
    <w:rsid w:val="005F5DAE"/>
    <w:rsid w:val="005F7707"/>
    <w:rsid w:val="0060031D"/>
    <w:rsid w:val="006003EF"/>
    <w:rsid w:val="0060294E"/>
    <w:rsid w:val="0060453E"/>
    <w:rsid w:val="006055C9"/>
    <w:rsid w:val="0060667F"/>
    <w:rsid w:val="006108DC"/>
    <w:rsid w:val="00611654"/>
    <w:rsid w:val="00613E0A"/>
    <w:rsid w:val="00615AF6"/>
    <w:rsid w:val="006231D0"/>
    <w:rsid w:val="00624927"/>
    <w:rsid w:val="006257F4"/>
    <w:rsid w:val="00626492"/>
    <w:rsid w:val="006277E9"/>
    <w:rsid w:val="0063151B"/>
    <w:rsid w:val="0063220F"/>
    <w:rsid w:val="00632E9A"/>
    <w:rsid w:val="0063329D"/>
    <w:rsid w:val="0063385A"/>
    <w:rsid w:val="00635ECD"/>
    <w:rsid w:val="006362A7"/>
    <w:rsid w:val="006362F5"/>
    <w:rsid w:val="006424AA"/>
    <w:rsid w:val="00643C36"/>
    <w:rsid w:val="00644278"/>
    <w:rsid w:val="0064701B"/>
    <w:rsid w:val="006515E2"/>
    <w:rsid w:val="006556AB"/>
    <w:rsid w:val="00656A77"/>
    <w:rsid w:val="00657181"/>
    <w:rsid w:val="006609DA"/>
    <w:rsid w:val="0066210C"/>
    <w:rsid w:val="006625D7"/>
    <w:rsid w:val="00662BCB"/>
    <w:rsid w:val="006660B7"/>
    <w:rsid w:val="006701F5"/>
    <w:rsid w:val="00670593"/>
    <w:rsid w:val="0067167E"/>
    <w:rsid w:val="00671740"/>
    <w:rsid w:val="0067313F"/>
    <w:rsid w:val="00675ECA"/>
    <w:rsid w:val="00675F51"/>
    <w:rsid w:val="006763B4"/>
    <w:rsid w:val="00676F62"/>
    <w:rsid w:val="00682583"/>
    <w:rsid w:val="00684A4F"/>
    <w:rsid w:val="006856E8"/>
    <w:rsid w:val="00685DAE"/>
    <w:rsid w:val="00691799"/>
    <w:rsid w:val="00693280"/>
    <w:rsid w:val="00696713"/>
    <w:rsid w:val="006972D6"/>
    <w:rsid w:val="00697BEC"/>
    <w:rsid w:val="006A151E"/>
    <w:rsid w:val="006A33BC"/>
    <w:rsid w:val="006A418E"/>
    <w:rsid w:val="006A5EB6"/>
    <w:rsid w:val="006A68BA"/>
    <w:rsid w:val="006A71BE"/>
    <w:rsid w:val="006B142F"/>
    <w:rsid w:val="006B15E5"/>
    <w:rsid w:val="006B3CB0"/>
    <w:rsid w:val="006B3EA9"/>
    <w:rsid w:val="006B52C2"/>
    <w:rsid w:val="006B5747"/>
    <w:rsid w:val="006B5E0D"/>
    <w:rsid w:val="006C0F8E"/>
    <w:rsid w:val="006D30E1"/>
    <w:rsid w:val="006D47C3"/>
    <w:rsid w:val="006D5671"/>
    <w:rsid w:val="006D630C"/>
    <w:rsid w:val="006E0FA1"/>
    <w:rsid w:val="006E19E9"/>
    <w:rsid w:val="006E336A"/>
    <w:rsid w:val="006E34F3"/>
    <w:rsid w:val="006E3779"/>
    <w:rsid w:val="006E383F"/>
    <w:rsid w:val="006E5680"/>
    <w:rsid w:val="006E5972"/>
    <w:rsid w:val="006E6EB4"/>
    <w:rsid w:val="006E72A2"/>
    <w:rsid w:val="006E7B0F"/>
    <w:rsid w:val="006F1791"/>
    <w:rsid w:val="006F287E"/>
    <w:rsid w:val="006F441B"/>
    <w:rsid w:val="006F511D"/>
    <w:rsid w:val="006F51C0"/>
    <w:rsid w:val="006F69AB"/>
    <w:rsid w:val="006F6FCC"/>
    <w:rsid w:val="00703442"/>
    <w:rsid w:val="00704D28"/>
    <w:rsid w:val="00707571"/>
    <w:rsid w:val="007117F1"/>
    <w:rsid w:val="00713BA0"/>
    <w:rsid w:val="00713BFF"/>
    <w:rsid w:val="00720366"/>
    <w:rsid w:val="00722D99"/>
    <w:rsid w:val="007237D8"/>
    <w:rsid w:val="00726B43"/>
    <w:rsid w:val="0072718E"/>
    <w:rsid w:val="0072757C"/>
    <w:rsid w:val="00727B90"/>
    <w:rsid w:val="00731A1B"/>
    <w:rsid w:val="00732D7E"/>
    <w:rsid w:val="00734D82"/>
    <w:rsid w:val="00737153"/>
    <w:rsid w:val="00743740"/>
    <w:rsid w:val="00743FC0"/>
    <w:rsid w:val="0074781F"/>
    <w:rsid w:val="0075116B"/>
    <w:rsid w:val="00752E4A"/>
    <w:rsid w:val="00753CC9"/>
    <w:rsid w:val="00754114"/>
    <w:rsid w:val="007606CE"/>
    <w:rsid w:val="0076146F"/>
    <w:rsid w:val="007614AD"/>
    <w:rsid w:val="0076224E"/>
    <w:rsid w:val="00762783"/>
    <w:rsid w:val="00762BCF"/>
    <w:rsid w:val="0076424E"/>
    <w:rsid w:val="00765227"/>
    <w:rsid w:val="00766B76"/>
    <w:rsid w:val="0077001B"/>
    <w:rsid w:val="00772980"/>
    <w:rsid w:val="007735EA"/>
    <w:rsid w:val="00776632"/>
    <w:rsid w:val="0077668E"/>
    <w:rsid w:val="00776CDC"/>
    <w:rsid w:val="007778E4"/>
    <w:rsid w:val="00785DEC"/>
    <w:rsid w:val="00787F11"/>
    <w:rsid w:val="007906C6"/>
    <w:rsid w:val="0079644A"/>
    <w:rsid w:val="007A0693"/>
    <w:rsid w:val="007A1662"/>
    <w:rsid w:val="007A2C78"/>
    <w:rsid w:val="007A40DD"/>
    <w:rsid w:val="007A5118"/>
    <w:rsid w:val="007A6D38"/>
    <w:rsid w:val="007B0297"/>
    <w:rsid w:val="007B1AA0"/>
    <w:rsid w:val="007B23AC"/>
    <w:rsid w:val="007B3CD7"/>
    <w:rsid w:val="007C10E9"/>
    <w:rsid w:val="007C4410"/>
    <w:rsid w:val="007C5FC7"/>
    <w:rsid w:val="007C7139"/>
    <w:rsid w:val="007D0004"/>
    <w:rsid w:val="007D089C"/>
    <w:rsid w:val="007D21B0"/>
    <w:rsid w:val="007D3FF5"/>
    <w:rsid w:val="007D42A1"/>
    <w:rsid w:val="007D518A"/>
    <w:rsid w:val="007D6A6E"/>
    <w:rsid w:val="007D79DE"/>
    <w:rsid w:val="007E0429"/>
    <w:rsid w:val="007E3C9D"/>
    <w:rsid w:val="007E3DD3"/>
    <w:rsid w:val="007E7688"/>
    <w:rsid w:val="007F12F1"/>
    <w:rsid w:val="007F243F"/>
    <w:rsid w:val="007F39C6"/>
    <w:rsid w:val="007F3F4A"/>
    <w:rsid w:val="007F46A4"/>
    <w:rsid w:val="007F479B"/>
    <w:rsid w:val="007F4822"/>
    <w:rsid w:val="007F5035"/>
    <w:rsid w:val="007F6324"/>
    <w:rsid w:val="00802339"/>
    <w:rsid w:val="00802A61"/>
    <w:rsid w:val="00803DBE"/>
    <w:rsid w:val="00804383"/>
    <w:rsid w:val="00806F7D"/>
    <w:rsid w:val="00811B50"/>
    <w:rsid w:val="00812122"/>
    <w:rsid w:val="00812BF1"/>
    <w:rsid w:val="00813C1F"/>
    <w:rsid w:val="00813FE9"/>
    <w:rsid w:val="00814042"/>
    <w:rsid w:val="0081713A"/>
    <w:rsid w:val="0081752F"/>
    <w:rsid w:val="00820FC6"/>
    <w:rsid w:val="008213A6"/>
    <w:rsid w:val="00822193"/>
    <w:rsid w:val="008227CA"/>
    <w:rsid w:val="00823F86"/>
    <w:rsid w:val="00830739"/>
    <w:rsid w:val="008317F2"/>
    <w:rsid w:val="008328E5"/>
    <w:rsid w:val="00832A8F"/>
    <w:rsid w:val="008335AE"/>
    <w:rsid w:val="0083389D"/>
    <w:rsid w:val="0083427C"/>
    <w:rsid w:val="008354AA"/>
    <w:rsid w:val="00840CA2"/>
    <w:rsid w:val="0084242B"/>
    <w:rsid w:val="008425EF"/>
    <w:rsid w:val="00842E86"/>
    <w:rsid w:val="00844738"/>
    <w:rsid w:val="0084486A"/>
    <w:rsid w:val="00845BFC"/>
    <w:rsid w:val="008460A9"/>
    <w:rsid w:val="00846A09"/>
    <w:rsid w:val="008503E9"/>
    <w:rsid w:val="00850E10"/>
    <w:rsid w:val="00851698"/>
    <w:rsid w:val="0085617C"/>
    <w:rsid w:val="00856377"/>
    <w:rsid w:val="00857833"/>
    <w:rsid w:val="00865348"/>
    <w:rsid w:val="008659B0"/>
    <w:rsid w:val="00866F02"/>
    <w:rsid w:val="00867F9C"/>
    <w:rsid w:val="00870314"/>
    <w:rsid w:val="00870507"/>
    <w:rsid w:val="00870BC6"/>
    <w:rsid w:val="00871EC4"/>
    <w:rsid w:val="00872F4E"/>
    <w:rsid w:val="00874475"/>
    <w:rsid w:val="008752A6"/>
    <w:rsid w:val="0087555A"/>
    <w:rsid w:val="00880003"/>
    <w:rsid w:val="008807BD"/>
    <w:rsid w:val="0088170A"/>
    <w:rsid w:val="00884600"/>
    <w:rsid w:val="00885110"/>
    <w:rsid w:val="00885B7A"/>
    <w:rsid w:val="008870B6"/>
    <w:rsid w:val="008879B4"/>
    <w:rsid w:val="008922FB"/>
    <w:rsid w:val="008A0067"/>
    <w:rsid w:val="008A0E65"/>
    <w:rsid w:val="008A201E"/>
    <w:rsid w:val="008A31AA"/>
    <w:rsid w:val="008B3925"/>
    <w:rsid w:val="008B4FC8"/>
    <w:rsid w:val="008B63AF"/>
    <w:rsid w:val="008C1154"/>
    <w:rsid w:val="008C2693"/>
    <w:rsid w:val="008C71BC"/>
    <w:rsid w:val="008D7D16"/>
    <w:rsid w:val="008E0C8A"/>
    <w:rsid w:val="008E28A9"/>
    <w:rsid w:val="008F0E6C"/>
    <w:rsid w:val="008F0FE8"/>
    <w:rsid w:val="008F5635"/>
    <w:rsid w:val="009000A3"/>
    <w:rsid w:val="00903C18"/>
    <w:rsid w:val="00903F3C"/>
    <w:rsid w:val="009049FA"/>
    <w:rsid w:val="00905E84"/>
    <w:rsid w:val="00910723"/>
    <w:rsid w:val="009114C7"/>
    <w:rsid w:val="00917F29"/>
    <w:rsid w:val="00920725"/>
    <w:rsid w:val="009207E5"/>
    <w:rsid w:val="009208C3"/>
    <w:rsid w:val="009222AD"/>
    <w:rsid w:val="00922755"/>
    <w:rsid w:val="00922DA9"/>
    <w:rsid w:val="009244CE"/>
    <w:rsid w:val="00931867"/>
    <w:rsid w:val="0093397E"/>
    <w:rsid w:val="00936A94"/>
    <w:rsid w:val="0093743B"/>
    <w:rsid w:val="00943049"/>
    <w:rsid w:val="0095056A"/>
    <w:rsid w:val="0095092E"/>
    <w:rsid w:val="00950C1E"/>
    <w:rsid w:val="00950E27"/>
    <w:rsid w:val="00950F2D"/>
    <w:rsid w:val="009519A4"/>
    <w:rsid w:val="00951C79"/>
    <w:rsid w:val="0095411D"/>
    <w:rsid w:val="00957A18"/>
    <w:rsid w:val="00957A8A"/>
    <w:rsid w:val="00960DA3"/>
    <w:rsid w:val="0096272E"/>
    <w:rsid w:val="00962CFD"/>
    <w:rsid w:val="009632FE"/>
    <w:rsid w:val="00963909"/>
    <w:rsid w:val="00964767"/>
    <w:rsid w:val="00971299"/>
    <w:rsid w:val="00971E2E"/>
    <w:rsid w:val="00975212"/>
    <w:rsid w:val="0097618A"/>
    <w:rsid w:val="00976934"/>
    <w:rsid w:val="00985C3D"/>
    <w:rsid w:val="0098692C"/>
    <w:rsid w:val="00986A0C"/>
    <w:rsid w:val="00991E36"/>
    <w:rsid w:val="00995BB1"/>
    <w:rsid w:val="00995BCA"/>
    <w:rsid w:val="009A0E9D"/>
    <w:rsid w:val="009A12E7"/>
    <w:rsid w:val="009A14DE"/>
    <w:rsid w:val="009A3C03"/>
    <w:rsid w:val="009A5214"/>
    <w:rsid w:val="009A57C6"/>
    <w:rsid w:val="009A6F0D"/>
    <w:rsid w:val="009B0463"/>
    <w:rsid w:val="009B22AB"/>
    <w:rsid w:val="009B2403"/>
    <w:rsid w:val="009B2691"/>
    <w:rsid w:val="009B30C5"/>
    <w:rsid w:val="009B3394"/>
    <w:rsid w:val="009B5172"/>
    <w:rsid w:val="009B5C43"/>
    <w:rsid w:val="009C2599"/>
    <w:rsid w:val="009C3010"/>
    <w:rsid w:val="009C3121"/>
    <w:rsid w:val="009C4064"/>
    <w:rsid w:val="009C51FA"/>
    <w:rsid w:val="009C55DE"/>
    <w:rsid w:val="009C67A7"/>
    <w:rsid w:val="009C6D8D"/>
    <w:rsid w:val="009C7722"/>
    <w:rsid w:val="009D0391"/>
    <w:rsid w:val="009D0A51"/>
    <w:rsid w:val="009D1F67"/>
    <w:rsid w:val="009D20A8"/>
    <w:rsid w:val="009D2882"/>
    <w:rsid w:val="009D6127"/>
    <w:rsid w:val="009D649E"/>
    <w:rsid w:val="009D75F7"/>
    <w:rsid w:val="009D7677"/>
    <w:rsid w:val="009D7E8A"/>
    <w:rsid w:val="009E1AD9"/>
    <w:rsid w:val="009E22CA"/>
    <w:rsid w:val="009E424B"/>
    <w:rsid w:val="009E623D"/>
    <w:rsid w:val="009E648E"/>
    <w:rsid w:val="009E761C"/>
    <w:rsid w:val="009F7283"/>
    <w:rsid w:val="009F7A7F"/>
    <w:rsid w:val="009F7D98"/>
    <w:rsid w:val="00A0096C"/>
    <w:rsid w:val="00A02A80"/>
    <w:rsid w:val="00A05338"/>
    <w:rsid w:val="00A10033"/>
    <w:rsid w:val="00A11822"/>
    <w:rsid w:val="00A127DC"/>
    <w:rsid w:val="00A13427"/>
    <w:rsid w:val="00A137F9"/>
    <w:rsid w:val="00A177AA"/>
    <w:rsid w:val="00A17D68"/>
    <w:rsid w:val="00A17E93"/>
    <w:rsid w:val="00A2055E"/>
    <w:rsid w:val="00A20F6A"/>
    <w:rsid w:val="00A21A80"/>
    <w:rsid w:val="00A22BB6"/>
    <w:rsid w:val="00A23041"/>
    <w:rsid w:val="00A25461"/>
    <w:rsid w:val="00A254DB"/>
    <w:rsid w:val="00A258FF"/>
    <w:rsid w:val="00A26256"/>
    <w:rsid w:val="00A27090"/>
    <w:rsid w:val="00A273F6"/>
    <w:rsid w:val="00A27CAF"/>
    <w:rsid w:val="00A32189"/>
    <w:rsid w:val="00A33354"/>
    <w:rsid w:val="00A33518"/>
    <w:rsid w:val="00A36251"/>
    <w:rsid w:val="00A3636A"/>
    <w:rsid w:val="00A37829"/>
    <w:rsid w:val="00A434E5"/>
    <w:rsid w:val="00A443F8"/>
    <w:rsid w:val="00A44C91"/>
    <w:rsid w:val="00A47079"/>
    <w:rsid w:val="00A47A9A"/>
    <w:rsid w:val="00A52565"/>
    <w:rsid w:val="00A52E5E"/>
    <w:rsid w:val="00A56682"/>
    <w:rsid w:val="00A56CB7"/>
    <w:rsid w:val="00A57F34"/>
    <w:rsid w:val="00A60EDF"/>
    <w:rsid w:val="00A63A69"/>
    <w:rsid w:val="00A65059"/>
    <w:rsid w:val="00A71AD4"/>
    <w:rsid w:val="00A747E2"/>
    <w:rsid w:val="00A769A8"/>
    <w:rsid w:val="00A76D9B"/>
    <w:rsid w:val="00A76F34"/>
    <w:rsid w:val="00A77F0C"/>
    <w:rsid w:val="00A900EB"/>
    <w:rsid w:val="00A92889"/>
    <w:rsid w:val="00A93614"/>
    <w:rsid w:val="00A951B0"/>
    <w:rsid w:val="00AA15C1"/>
    <w:rsid w:val="00AA2F80"/>
    <w:rsid w:val="00AA313D"/>
    <w:rsid w:val="00AA5C44"/>
    <w:rsid w:val="00AB0B55"/>
    <w:rsid w:val="00AB174B"/>
    <w:rsid w:val="00AB3639"/>
    <w:rsid w:val="00AB53D0"/>
    <w:rsid w:val="00AB77FD"/>
    <w:rsid w:val="00AC10BE"/>
    <w:rsid w:val="00AC2155"/>
    <w:rsid w:val="00AC298E"/>
    <w:rsid w:val="00AC744C"/>
    <w:rsid w:val="00AC751D"/>
    <w:rsid w:val="00AD1ADF"/>
    <w:rsid w:val="00AD1F90"/>
    <w:rsid w:val="00AD4542"/>
    <w:rsid w:val="00AD45F6"/>
    <w:rsid w:val="00AD5A5B"/>
    <w:rsid w:val="00AD68BB"/>
    <w:rsid w:val="00AD6C44"/>
    <w:rsid w:val="00AE3794"/>
    <w:rsid w:val="00AE4C2D"/>
    <w:rsid w:val="00AE5BE6"/>
    <w:rsid w:val="00AE7E41"/>
    <w:rsid w:val="00B02307"/>
    <w:rsid w:val="00B03642"/>
    <w:rsid w:val="00B0742C"/>
    <w:rsid w:val="00B1040E"/>
    <w:rsid w:val="00B1181B"/>
    <w:rsid w:val="00B11D50"/>
    <w:rsid w:val="00B11F27"/>
    <w:rsid w:val="00B13AAE"/>
    <w:rsid w:val="00B13C64"/>
    <w:rsid w:val="00B13F94"/>
    <w:rsid w:val="00B14FB4"/>
    <w:rsid w:val="00B15514"/>
    <w:rsid w:val="00B15BC8"/>
    <w:rsid w:val="00B160B2"/>
    <w:rsid w:val="00B16D5B"/>
    <w:rsid w:val="00B16EDC"/>
    <w:rsid w:val="00B21EBE"/>
    <w:rsid w:val="00B2202B"/>
    <w:rsid w:val="00B23EA7"/>
    <w:rsid w:val="00B27CDA"/>
    <w:rsid w:val="00B30958"/>
    <w:rsid w:val="00B32339"/>
    <w:rsid w:val="00B36263"/>
    <w:rsid w:val="00B37F7F"/>
    <w:rsid w:val="00B40914"/>
    <w:rsid w:val="00B44701"/>
    <w:rsid w:val="00B44D54"/>
    <w:rsid w:val="00B455F4"/>
    <w:rsid w:val="00B4562E"/>
    <w:rsid w:val="00B45E34"/>
    <w:rsid w:val="00B47526"/>
    <w:rsid w:val="00B50D68"/>
    <w:rsid w:val="00B50E49"/>
    <w:rsid w:val="00B5114B"/>
    <w:rsid w:val="00B538EF"/>
    <w:rsid w:val="00B55753"/>
    <w:rsid w:val="00B606B0"/>
    <w:rsid w:val="00B60F5D"/>
    <w:rsid w:val="00B645BE"/>
    <w:rsid w:val="00B671D7"/>
    <w:rsid w:val="00B676E6"/>
    <w:rsid w:val="00B725E0"/>
    <w:rsid w:val="00B72FA0"/>
    <w:rsid w:val="00B76720"/>
    <w:rsid w:val="00B76B29"/>
    <w:rsid w:val="00B81319"/>
    <w:rsid w:val="00B829E7"/>
    <w:rsid w:val="00B835F5"/>
    <w:rsid w:val="00B84BA8"/>
    <w:rsid w:val="00B86159"/>
    <w:rsid w:val="00B86B9C"/>
    <w:rsid w:val="00B91FBE"/>
    <w:rsid w:val="00B9268B"/>
    <w:rsid w:val="00B927EB"/>
    <w:rsid w:val="00B9298A"/>
    <w:rsid w:val="00B93245"/>
    <w:rsid w:val="00B934D6"/>
    <w:rsid w:val="00B941C1"/>
    <w:rsid w:val="00B9684E"/>
    <w:rsid w:val="00BA00E4"/>
    <w:rsid w:val="00BA4A6F"/>
    <w:rsid w:val="00BA5699"/>
    <w:rsid w:val="00BB10EE"/>
    <w:rsid w:val="00BB20D0"/>
    <w:rsid w:val="00BB42A5"/>
    <w:rsid w:val="00BB4625"/>
    <w:rsid w:val="00BC1ACC"/>
    <w:rsid w:val="00BC1DE3"/>
    <w:rsid w:val="00BC21DD"/>
    <w:rsid w:val="00BC2FC1"/>
    <w:rsid w:val="00BC665C"/>
    <w:rsid w:val="00BC705D"/>
    <w:rsid w:val="00BC752A"/>
    <w:rsid w:val="00BC779D"/>
    <w:rsid w:val="00BD1B24"/>
    <w:rsid w:val="00BD308A"/>
    <w:rsid w:val="00BD5083"/>
    <w:rsid w:val="00BD634A"/>
    <w:rsid w:val="00BE1E2D"/>
    <w:rsid w:val="00BE24D4"/>
    <w:rsid w:val="00BE355A"/>
    <w:rsid w:val="00BE4ADA"/>
    <w:rsid w:val="00BE537A"/>
    <w:rsid w:val="00BE5AFF"/>
    <w:rsid w:val="00BE5F5F"/>
    <w:rsid w:val="00BE76D4"/>
    <w:rsid w:val="00BF0EC6"/>
    <w:rsid w:val="00BF20D5"/>
    <w:rsid w:val="00BF4555"/>
    <w:rsid w:val="00C00180"/>
    <w:rsid w:val="00C00744"/>
    <w:rsid w:val="00C01A41"/>
    <w:rsid w:val="00C03471"/>
    <w:rsid w:val="00C05B99"/>
    <w:rsid w:val="00C05D67"/>
    <w:rsid w:val="00C078EE"/>
    <w:rsid w:val="00C07A1A"/>
    <w:rsid w:val="00C10059"/>
    <w:rsid w:val="00C111DA"/>
    <w:rsid w:val="00C11755"/>
    <w:rsid w:val="00C147FE"/>
    <w:rsid w:val="00C14C06"/>
    <w:rsid w:val="00C150F2"/>
    <w:rsid w:val="00C16270"/>
    <w:rsid w:val="00C22DB7"/>
    <w:rsid w:val="00C23331"/>
    <w:rsid w:val="00C233A7"/>
    <w:rsid w:val="00C26CA5"/>
    <w:rsid w:val="00C32D54"/>
    <w:rsid w:val="00C35039"/>
    <w:rsid w:val="00C35553"/>
    <w:rsid w:val="00C35997"/>
    <w:rsid w:val="00C3784F"/>
    <w:rsid w:val="00C4036A"/>
    <w:rsid w:val="00C41BFC"/>
    <w:rsid w:val="00C4243D"/>
    <w:rsid w:val="00C44AA0"/>
    <w:rsid w:val="00C50902"/>
    <w:rsid w:val="00C51E9C"/>
    <w:rsid w:val="00C551DB"/>
    <w:rsid w:val="00C56EEB"/>
    <w:rsid w:val="00C57463"/>
    <w:rsid w:val="00C603D2"/>
    <w:rsid w:val="00C6186C"/>
    <w:rsid w:val="00C62811"/>
    <w:rsid w:val="00C6670A"/>
    <w:rsid w:val="00C709A2"/>
    <w:rsid w:val="00C71881"/>
    <w:rsid w:val="00C74D51"/>
    <w:rsid w:val="00C76384"/>
    <w:rsid w:val="00C819B7"/>
    <w:rsid w:val="00C851D7"/>
    <w:rsid w:val="00C8551D"/>
    <w:rsid w:val="00C90E61"/>
    <w:rsid w:val="00C94988"/>
    <w:rsid w:val="00CA0AF8"/>
    <w:rsid w:val="00CA25F4"/>
    <w:rsid w:val="00CA3AF4"/>
    <w:rsid w:val="00CA6455"/>
    <w:rsid w:val="00CA707E"/>
    <w:rsid w:val="00CA7F6F"/>
    <w:rsid w:val="00CB130D"/>
    <w:rsid w:val="00CB2949"/>
    <w:rsid w:val="00CB3DF2"/>
    <w:rsid w:val="00CB4D6B"/>
    <w:rsid w:val="00CB75F5"/>
    <w:rsid w:val="00CB7E62"/>
    <w:rsid w:val="00CC02BB"/>
    <w:rsid w:val="00CC0748"/>
    <w:rsid w:val="00CC42AC"/>
    <w:rsid w:val="00CD5A52"/>
    <w:rsid w:val="00CE17EB"/>
    <w:rsid w:val="00CE1F03"/>
    <w:rsid w:val="00CE211E"/>
    <w:rsid w:val="00CE21AF"/>
    <w:rsid w:val="00CE2F65"/>
    <w:rsid w:val="00CE5871"/>
    <w:rsid w:val="00CE5B27"/>
    <w:rsid w:val="00CF17D6"/>
    <w:rsid w:val="00CF2F01"/>
    <w:rsid w:val="00CF3E61"/>
    <w:rsid w:val="00CF62CD"/>
    <w:rsid w:val="00CF775F"/>
    <w:rsid w:val="00D03537"/>
    <w:rsid w:val="00D11C1A"/>
    <w:rsid w:val="00D120B7"/>
    <w:rsid w:val="00D1301F"/>
    <w:rsid w:val="00D1511F"/>
    <w:rsid w:val="00D17639"/>
    <w:rsid w:val="00D17E3D"/>
    <w:rsid w:val="00D21F31"/>
    <w:rsid w:val="00D22455"/>
    <w:rsid w:val="00D22E30"/>
    <w:rsid w:val="00D2566B"/>
    <w:rsid w:val="00D25774"/>
    <w:rsid w:val="00D26242"/>
    <w:rsid w:val="00D326FF"/>
    <w:rsid w:val="00D32831"/>
    <w:rsid w:val="00D33D7C"/>
    <w:rsid w:val="00D34EFB"/>
    <w:rsid w:val="00D35C3B"/>
    <w:rsid w:val="00D4103E"/>
    <w:rsid w:val="00D439CE"/>
    <w:rsid w:val="00D447E2"/>
    <w:rsid w:val="00D448FD"/>
    <w:rsid w:val="00D528F5"/>
    <w:rsid w:val="00D535E6"/>
    <w:rsid w:val="00D55199"/>
    <w:rsid w:val="00D5682A"/>
    <w:rsid w:val="00D568C5"/>
    <w:rsid w:val="00D61F30"/>
    <w:rsid w:val="00D6657C"/>
    <w:rsid w:val="00D720CF"/>
    <w:rsid w:val="00D73025"/>
    <w:rsid w:val="00D73438"/>
    <w:rsid w:val="00D816C8"/>
    <w:rsid w:val="00D82271"/>
    <w:rsid w:val="00D8362B"/>
    <w:rsid w:val="00D8448F"/>
    <w:rsid w:val="00D87370"/>
    <w:rsid w:val="00D87A7B"/>
    <w:rsid w:val="00D9214E"/>
    <w:rsid w:val="00D921F6"/>
    <w:rsid w:val="00D92309"/>
    <w:rsid w:val="00D93C67"/>
    <w:rsid w:val="00D96951"/>
    <w:rsid w:val="00D9781E"/>
    <w:rsid w:val="00DA0765"/>
    <w:rsid w:val="00DA0E4C"/>
    <w:rsid w:val="00DA33BC"/>
    <w:rsid w:val="00DA36B7"/>
    <w:rsid w:val="00DA5A71"/>
    <w:rsid w:val="00DA7552"/>
    <w:rsid w:val="00DB0A11"/>
    <w:rsid w:val="00DB253D"/>
    <w:rsid w:val="00DB27DD"/>
    <w:rsid w:val="00DB32D8"/>
    <w:rsid w:val="00DB508D"/>
    <w:rsid w:val="00DB5610"/>
    <w:rsid w:val="00DB614D"/>
    <w:rsid w:val="00DC059E"/>
    <w:rsid w:val="00DC53D3"/>
    <w:rsid w:val="00DC5AF9"/>
    <w:rsid w:val="00DC5C3E"/>
    <w:rsid w:val="00DD1CF2"/>
    <w:rsid w:val="00DD3C16"/>
    <w:rsid w:val="00DD566E"/>
    <w:rsid w:val="00DD5DCF"/>
    <w:rsid w:val="00DD627A"/>
    <w:rsid w:val="00DD7F35"/>
    <w:rsid w:val="00DE447F"/>
    <w:rsid w:val="00DE506A"/>
    <w:rsid w:val="00DE6E29"/>
    <w:rsid w:val="00DE7BDE"/>
    <w:rsid w:val="00DE7F31"/>
    <w:rsid w:val="00DF0118"/>
    <w:rsid w:val="00DF052C"/>
    <w:rsid w:val="00DF071C"/>
    <w:rsid w:val="00DF08F7"/>
    <w:rsid w:val="00DF0AEA"/>
    <w:rsid w:val="00DF5850"/>
    <w:rsid w:val="00DF6272"/>
    <w:rsid w:val="00DF6A4F"/>
    <w:rsid w:val="00DF6ADE"/>
    <w:rsid w:val="00DF6B06"/>
    <w:rsid w:val="00E001F2"/>
    <w:rsid w:val="00E00DD4"/>
    <w:rsid w:val="00E0113F"/>
    <w:rsid w:val="00E01A65"/>
    <w:rsid w:val="00E06D89"/>
    <w:rsid w:val="00E100F4"/>
    <w:rsid w:val="00E11A47"/>
    <w:rsid w:val="00E1209C"/>
    <w:rsid w:val="00E122E0"/>
    <w:rsid w:val="00E137AF"/>
    <w:rsid w:val="00E15338"/>
    <w:rsid w:val="00E16075"/>
    <w:rsid w:val="00E168EC"/>
    <w:rsid w:val="00E20BB5"/>
    <w:rsid w:val="00E212E0"/>
    <w:rsid w:val="00E21A84"/>
    <w:rsid w:val="00E22E48"/>
    <w:rsid w:val="00E23F39"/>
    <w:rsid w:val="00E301B6"/>
    <w:rsid w:val="00E305A4"/>
    <w:rsid w:val="00E31912"/>
    <w:rsid w:val="00E33FCB"/>
    <w:rsid w:val="00E3473E"/>
    <w:rsid w:val="00E36466"/>
    <w:rsid w:val="00E36CCC"/>
    <w:rsid w:val="00E373FB"/>
    <w:rsid w:val="00E43EBB"/>
    <w:rsid w:val="00E50939"/>
    <w:rsid w:val="00E52C5D"/>
    <w:rsid w:val="00E54E68"/>
    <w:rsid w:val="00E558FC"/>
    <w:rsid w:val="00E56715"/>
    <w:rsid w:val="00E56913"/>
    <w:rsid w:val="00E57714"/>
    <w:rsid w:val="00E60C48"/>
    <w:rsid w:val="00E61D6E"/>
    <w:rsid w:val="00E6230A"/>
    <w:rsid w:val="00E64C09"/>
    <w:rsid w:val="00E66B5B"/>
    <w:rsid w:val="00E7300E"/>
    <w:rsid w:val="00E75988"/>
    <w:rsid w:val="00E75BCF"/>
    <w:rsid w:val="00E760AA"/>
    <w:rsid w:val="00E7688F"/>
    <w:rsid w:val="00E83BD6"/>
    <w:rsid w:val="00E83FF6"/>
    <w:rsid w:val="00E84E7C"/>
    <w:rsid w:val="00E91DDE"/>
    <w:rsid w:val="00E92664"/>
    <w:rsid w:val="00E972C2"/>
    <w:rsid w:val="00E97AA8"/>
    <w:rsid w:val="00EA0C58"/>
    <w:rsid w:val="00EA2271"/>
    <w:rsid w:val="00EA593F"/>
    <w:rsid w:val="00EA5CF1"/>
    <w:rsid w:val="00EB1BB0"/>
    <w:rsid w:val="00EB2545"/>
    <w:rsid w:val="00EB2A29"/>
    <w:rsid w:val="00EB4BB8"/>
    <w:rsid w:val="00EB56CC"/>
    <w:rsid w:val="00EB795D"/>
    <w:rsid w:val="00EC3B16"/>
    <w:rsid w:val="00EC5BC0"/>
    <w:rsid w:val="00EC60D6"/>
    <w:rsid w:val="00EC68D9"/>
    <w:rsid w:val="00ED06A5"/>
    <w:rsid w:val="00ED080E"/>
    <w:rsid w:val="00ED1010"/>
    <w:rsid w:val="00ED1A5B"/>
    <w:rsid w:val="00ED1B2C"/>
    <w:rsid w:val="00ED2F08"/>
    <w:rsid w:val="00ED308A"/>
    <w:rsid w:val="00ED3677"/>
    <w:rsid w:val="00ED382E"/>
    <w:rsid w:val="00ED38C9"/>
    <w:rsid w:val="00ED3A7D"/>
    <w:rsid w:val="00EE0CB4"/>
    <w:rsid w:val="00EE46EC"/>
    <w:rsid w:val="00EE4F22"/>
    <w:rsid w:val="00EE7232"/>
    <w:rsid w:val="00EF132C"/>
    <w:rsid w:val="00EF1D4A"/>
    <w:rsid w:val="00EF1DC8"/>
    <w:rsid w:val="00EF2857"/>
    <w:rsid w:val="00EF2C41"/>
    <w:rsid w:val="00EF3CA4"/>
    <w:rsid w:val="00EF69B7"/>
    <w:rsid w:val="00EF6CAC"/>
    <w:rsid w:val="00F02A57"/>
    <w:rsid w:val="00F05750"/>
    <w:rsid w:val="00F07357"/>
    <w:rsid w:val="00F07885"/>
    <w:rsid w:val="00F1101D"/>
    <w:rsid w:val="00F11C42"/>
    <w:rsid w:val="00F1387A"/>
    <w:rsid w:val="00F14929"/>
    <w:rsid w:val="00F14A71"/>
    <w:rsid w:val="00F16759"/>
    <w:rsid w:val="00F16A9F"/>
    <w:rsid w:val="00F17B6B"/>
    <w:rsid w:val="00F229E9"/>
    <w:rsid w:val="00F267B0"/>
    <w:rsid w:val="00F26BC2"/>
    <w:rsid w:val="00F3013A"/>
    <w:rsid w:val="00F3030C"/>
    <w:rsid w:val="00F305F1"/>
    <w:rsid w:val="00F316DB"/>
    <w:rsid w:val="00F31715"/>
    <w:rsid w:val="00F32383"/>
    <w:rsid w:val="00F3376E"/>
    <w:rsid w:val="00F36B63"/>
    <w:rsid w:val="00F400FC"/>
    <w:rsid w:val="00F412F5"/>
    <w:rsid w:val="00F41AEF"/>
    <w:rsid w:val="00F41B32"/>
    <w:rsid w:val="00F433C2"/>
    <w:rsid w:val="00F43B8F"/>
    <w:rsid w:val="00F50F2E"/>
    <w:rsid w:val="00F533F9"/>
    <w:rsid w:val="00F56163"/>
    <w:rsid w:val="00F57A3F"/>
    <w:rsid w:val="00F60907"/>
    <w:rsid w:val="00F60FEB"/>
    <w:rsid w:val="00F64077"/>
    <w:rsid w:val="00F64581"/>
    <w:rsid w:val="00F646A2"/>
    <w:rsid w:val="00F64B29"/>
    <w:rsid w:val="00F64C59"/>
    <w:rsid w:val="00F662B8"/>
    <w:rsid w:val="00F66E42"/>
    <w:rsid w:val="00F71178"/>
    <w:rsid w:val="00F71DE6"/>
    <w:rsid w:val="00F72103"/>
    <w:rsid w:val="00F73057"/>
    <w:rsid w:val="00F74E7B"/>
    <w:rsid w:val="00F7505A"/>
    <w:rsid w:val="00F80813"/>
    <w:rsid w:val="00F80EF8"/>
    <w:rsid w:val="00F82B97"/>
    <w:rsid w:val="00F87028"/>
    <w:rsid w:val="00F915D6"/>
    <w:rsid w:val="00F9230D"/>
    <w:rsid w:val="00F92F1A"/>
    <w:rsid w:val="00F931CE"/>
    <w:rsid w:val="00F9546F"/>
    <w:rsid w:val="00F95645"/>
    <w:rsid w:val="00F96036"/>
    <w:rsid w:val="00FA26CF"/>
    <w:rsid w:val="00FA3AAF"/>
    <w:rsid w:val="00FA412F"/>
    <w:rsid w:val="00FA540F"/>
    <w:rsid w:val="00FA78CE"/>
    <w:rsid w:val="00FB1538"/>
    <w:rsid w:val="00FB25CB"/>
    <w:rsid w:val="00FB3757"/>
    <w:rsid w:val="00FB40B8"/>
    <w:rsid w:val="00FC1264"/>
    <w:rsid w:val="00FC1A85"/>
    <w:rsid w:val="00FC3690"/>
    <w:rsid w:val="00FC52B3"/>
    <w:rsid w:val="00FC5381"/>
    <w:rsid w:val="00FD1CF2"/>
    <w:rsid w:val="00FD204A"/>
    <w:rsid w:val="00FD3BC6"/>
    <w:rsid w:val="00FD439D"/>
    <w:rsid w:val="00FD4A09"/>
    <w:rsid w:val="00FD4D0E"/>
    <w:rsid w:val="00FD5CB1"/>
    <w:rsid w:val="00FD5D6C"/>
    <w:rsid w:val="00FD6FC3"/>
    <w:rsid w:val="00FD7475"/>
    <w:rsid w:val="00FD7C22"/>
    <w:rsid w:val="00FE06D1"/>
    <w:rsid w:val="00FE4543"/>
    <w:rsid w:val="00FE4EFD"/>
    <w:rsid w:val="00FE5119"/>
    <w:rsid w:val="00FE72E9"/>
    <w:rsid w:val="00FE7AF4"/>
    <w:rsid w:val="00FF13AB"/>
    <w:rsid w:val="00FF4ADB"/>
    <w:rsid w:val="00FF7E98"/>
    <w:rsid w:val="012936EC"/>
    <w:rsid w:val="02322BBC"/>
    <w:rsid w:val="02403076"/>
    <w:rsid w:val="030513FC"/>
    <w:rsid w:val="03A97BF3"/>
    <w:rsid w:val="051678E7"/>
    <w:rsid w:val="063043B7"/>
    <w:rsid w:val="063A52FB"/>
    <w:rsid w:val="07124C51"/>
    <w:rsid w:val="078366AE"/>
    <w:rsid w:val="078A279D"/>
    <w:rsid w:val="093D70B7"/>
    <w:rsid w:val="09B87EAD"/>
    <w:rsid w:val="09C736D7"/>
    <w:rsid w:val="09F32B46"/>
    <w:rsid w:val="0A4F09AB"/>
    <w:rsid w:val="0C1C7CB5"/>
    <w:rsid w:val="0D9A6E62"/>
    <w:rsid w:val="0DD41056"/>
    <w:rsid w:val="0ED529B7"/>
    <w:rsid w:val="0F447539"/>
    <w:rsid w:val="0FF0599D"/>
    <w:rsid w:val="10861F15"/>
    <w:rsid w:val="11761401"/>
    <w:rsid w:val="1375207C"/>
    <w:rsid w:val="144F351F"/>
    <w:rsid w:val="148417A7"/>
    <w:rsid w:val="177863BC"/>
    <w:rsid w:val="17916073"/>
    <w:rsid w:val="17B22434"/>
    <w:rsid w:val="19913266"/>
    <w:rsid w:val="1A5A6DBF"/>
    <w:rsid w:val="1B2515A1"/>
    <w:rsid w:val="1B8B12EF"/>
    <w:rsid w:val="1C044C91"/>
    <w:rsid w:val="1E8141F3"/>
    <w:rsid w:val="1FA20BD1"/>
    <w:rsid w:val="2033361D"/>
    <w:rsid w:val="21CD429E"/>
    <w:rsid w:val="21F9186C"/>
    <w:rsid w:val="22CD4683"/>
    <w:rsid w:val="266B5980"/>
    <w:rsid w:val="26B81D82"/>
    <w:rsid w:val="26DC06C1"/>
    <w:rsid w:val="27066CD4"/>
    <w:rsid w:val="29573AF1"/>
    <w:rsid w:val="2A271AEF"/>
    <w:rsid w:val="2AFE3B31"/>
    <w:rsid w:val="2B294AEA"/>
    <w:rsid w:val="2B955666"/>
    <w:rsid w:val="2BB7167E"/>
    <w:rsid w:val="2BD56CCB"/>
    <w:rsid w:val="2C0916B8"/>
    <w:rsid w:val="2C343643"/>
    <w:rsid w:val="2E114534"/>
    <w:rsid w:val="2E256521"/>
    <w:rsid w:val="300339E9"/>
    <w:rsid w:val="30B4101F"/>
    <w:rsid w:val="30CE4EEF"/>
    <w:rsid w:val="32171CE4"/>
    <w:rsid w:val="32F537C1"/>
    <w:rsid w:val="33A3751F"/>
    <w:rsid w:val="344E50FE"/>
    <w:rsid w:val="34F62F32"/>
    <w:rsid w:val="35C50ED0"/>
    <w:rsid w:val="363C1989"/>
    <w:rsid w:val="377A0548"/>
    <w:rsid w:val="385552A5"/>
    <w:rsid w:val="386E088B"/>
    <w:rsid w:val="38D31A0A"/>
    <w:rsid w:val="38E67BD1"/>
    <w:rsid w:val="39650544"/>
    <w:rsid w:val="3A222051"/>
    <w:rsid w:val="3A2879C5"/>
    <w:rsid w:val="3B3439D4"/>
    <w:rsid w:val="3BAC7CAC"/>
    <w:rsid w:val="3BBC228C"/>
    <w:rsid w:val="3BFA1244"/>
    <w:rsid w:val="3D881650"/>
    <w:rsid w:val="3DF12C5E"/>
    <w:rsid w:val="3F4C418E"/>
    <w:rsid w:val="3FAB7AE4"/>
    <w:rsid w:val="3FB15E3C"/>
    <w:rsid w:val="403E05DD"/>
    <w:rsid w:val="41356FAC"/>
    <w:rsid w:val="422E1AC0"/>
    <w:rsid w:val="4266127F"/>
    <w:rsid w:val="436443C6"/>
    <w:rsid w:val="442A27F3"/>
    <w:rsid w:val="44FE0EA4"/>
    <w:rsid w:val="476C491B"/>
    <w:rsid w:val="481B5FB2"/>
    <w:rsid w:val="489A7093"/>
    <w:rsid w:val="48A2481A"/>
    <w:rsid w:val="495D5AAD"/>
    <w:rsid w:val="49955607"/>
    <w:rsid w:val="4A98058B"/>
    <w:rsid w:val="4ADB16CC"/>
    <w:rsid w:val="4B002C40"/>
    <w:rsid w:val="4B063993"/>
    <w:rsid w:val="4B7E20B1"/>
    <w:rsid w:val="4C0C384E"/>
    <w:rsid w:val="4E4432B3"/>
    <w:rsid w:val="4F57796E"/>
    <w:rsid w:val="50610CD8"/>
    <w:rsid w:val="50FA555D"/>
    <w:rsid w:val="51E305D8"/>
    <w:rsid w:val="536234F9"/>
    <w:rsid w:val="54587B82"/>
    <w:rsid w:val="545E1DA8"/>
    <w:rsid w:val="558E3C73"/>
    <w:rsid w:val="571702BF"/>
    <w:rsid w:val="57D32411"/>
    <w:rsid w:val="58704EB2"/>
    <w:rsid w:val="58B71222"/>
    <w:rsid w:val="58E30562"/>
    <w:rsid w:val="59496BC5"/>
    <w:rsid w:val="59D32709"/>
    <w:rsid w:val="5AC94F6E"/>
    <w:rsid w:val="5B0920F5"/>
    <w:rsid w:val="5B33306A"/>
    <w:rsid w:val="5DCD6244"/>
    <w:rsid w:val="5E840913"/>
    <w:rsid w:val="5F222D86"/>
    <w:rsid w:val="60680AD9"/>
    <w:rsid w:val="61235607"/>
    <w:rsid w:val="619E28CD"/>
    <w:rsid w:val="6231670A"/>
    <w:rsid w:val="627132B7"/>
    <w:rsid w:val="62B2310F"/>
    <w:rsid w:val="64340ABA"/>
    <w:rsid w:val="64533A0C"/>
    <w:rsid w:val="647F0A24"/>
    <w:rsid w:val="65DB3A16"/>
    <w:rsid w:val="65DB4775"/>
    <w:rsid w:val="68F47A1E"/>
    <w:rsid w:val="690C4510"/>
    <w:rsid w:val="69543A02"/>
    <w:rsid w:val="69B562A5"/>
    <w:rsid w:val="6AB84249"/>
    <w:rsid w:val="6C266CCE"/>
    <w:rsid w:val="6C593FFF"/>
    <w:rsid w:val="6CA2461F"/>
    <w:rsid w:val="6DDC5906"/>
    <w:rsid w:val="6EE0111C"/>
    <w:rsid w:val="6F6936DC"/>
    <w:rsid w:val="6F6E4319"/>
    <w:rsid w:val="6FFB4E25"/>
    <w:rsid w:val="706E2D71"/>
    <w:rsid w:val="70FF630E"/>
    <w:rsid w:val="71540F0F"/>
    <w:rsid w:val="71D80772"/>
    <w:rsid w:val="72E37F48"/>
    <w:rsid w:val="73330380"/>
    <w:rsid w:val="73616B25"/>
    <w:rsid w:val="73A67953"/>
    <w:rsid w:val="73DE3C2C"/>
    <w:rsid w:val="740409CF"/>
    <w:rsid w:val="756246BA"/>
    <w:rsid w:val="75D35A4C"/>
    <w:rsid w:val="760919A6"/>
    <w:rsid w:val="7643755E"/>
    <w:rsid w:val="76A748F9"/>
    <w:rsid w:val="77DF4283"/>
    <w:rsid w:val="77E32D22"/>
    <w:rsid w:val="781E7C5A"/>
    <w:rsid w:val="78503EF5"/>
    <w:rsid w:val="7C146CE8"/>
    <w:rsid w:val="7C273AA6"/>
    <w:rsid w:val="7C561885"/>
    <w:rsid w:val="7D8F132C"/>
    <w:rsid w:val="7D9E3B8C"/>
    <w:rsid w:val="7E7448A3"/>
    <w:rsid w:val="7F087B7B"/>
    <w:rsid w:val="7F3E17A9"/>
    <w:rsid w:val="7F64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semiHidden/>
    <w:qFormat/>
    <w:uiPriority w:val="0"/>
    <w:rPr>
      <w:b/>
      <w:bCs/>
    </w:rPr>
  </w:style>
  <w:style w:type="paragraph" w:styleId="5">
    <w:name w:val="annotation text"/>
    <w:basedOn w:val="1"/>
    <w:semiHidden/>
    <w:qFormat/>
    <w:uiPriority w:val="0"/>
    <w:pPr>
      <w:jc w:val="left"/>
    </w:pPr>
  </w:style>
  <w:style w:type="paragraph" w:styleId="6">
    <w:name w:val="Body Text Indent"/>
    <w:basedOn w:val="1"/>
    <w:qFormat/>
    <w:uiPriority w:val="0"/>
    <w:pPr>
      <w:spacing w:line="400" w:lineRule="atLeast"/>
      <w:ind w:firstLine="560" w:firstLineChars="200"/>
    </w:pPr>
    <w:rPr>
      <w:sz w:val="28"/>
    </w:rPr>
  </w:style>
  <w:style w:type="paragraph" w:styleId="7">
    <w:name w:val="Plain Text"/>
    <w:basedOn w:val="1"/>
    <w:link w:val="18"/>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annotation reference"/>
    <w:basedOn w:val="12"/>
    <w:semiHidden/>
    <w:qFormat/>
    <w:uiPriority w:val="0"/>
    <w:rPr>
      <w:sz w:val="21"/>
      <w:szCs w:val="21"/>
    </w:rPr>
  </w:style>
  <w:style w:type="character" w:customStyle="1" w:styleId="16">
    <w:name w:val="apple-converted-space"/>
    <w:basedOn w:val="12"/>
    <w:qFormat/>
    <w:uiPriority w:val="0"/>
  </w:style>
  <w:style w:type="character" w:customStyle="1" w:styleId="17">
    <w:name w:val="Intense Emphasis"/>
    <w:basedOn w:val="12"/>
    <w:qFormat/>
    <w:uiPriority w:val="21"/>
    <w:rPr>
      <w:b/>
      <w:bCs/>
      <w:i/>
      <w:iCs/>
      <w:color w:val="4F81BD"/>
    </w:rPr>
  </w:style>
  <w:style w:type="character" w:customStyle="1" w:styleId="18">
    <w:name w:val="纯文本 Char"/>
    <w:basedOn w:val="12"/>
    <w:link w:val="7"/>
    <w:qFormat/>
    <w:locked/>
    <w:uiPriority w:val="0"/>
    <w:rPr>
      <w:rFonts w:ascii="宋体" w:hAnsi="Courier New" w:eastAsia="宋体" w:cs="Courier New"/>
      <w:kern w:val="2"/>
      <w:sz w:val="21"/>
      <w:szCs w:val="21"/>
      <w:lang w:val="en-US" w:eastAsia="zh-CN" w:bidi="ar-SA"/>
    </w:rPr>
  </w:style>
  <w:style w:type="character" w:customStyle="1" w:styleId="19">
    <w:name w:val="引用 Char"/>
    <w:basedOn w:val="12"/>
    <w:link w:val="20"/>
    <w:qFormat/>
    <w:uiPriority w:val="29"/>
    <w:rPr>
      <w:i/>
      <w:iCs/>
      <w:color w:val="000000"/>
      <w:kern w:val="2"/>
      <w:sz w:val="21"/>
      <w:szCs w:val="24"/>
    </w:rPr>
  </w:style>
  <w:style w:type="paragraph" w:styleId="20">
    <w:name w:val="Quote"/>
    <w:basedOn w:val="1"/>
    <w:next w:val="1"/>
    <w:link w:val="19"/>
    <w:qFormat/>
    <w:uiPriority w:val="29"/>
    <w:rPr>
      <w:i/>
      <w:iCs/>
      <w:color w:val="000000"/>
    </w:rPr>
  </w:style>
  <w:style w:type="paragraph" w:customStyle="1" w:styleId="21">
    <w:name w:val="无间隔1"/>
    <w:basedOn w:val="1"/>
    <w:qFormat/>
    <w:uiPriority w:val="0"/>
    <w:rPr>
      <w:rFonts w:ascii="Calibri" w:hAnsi="Calibri" w:eastAsia="仿宋_GB2312"/>
      <w:sz w:val="32"/>
      <w:szCs w:val="32"/>
    </w:rPr>
  </w:style>
  <w:style w:type="paragraph" w:customStyle="1" w:styleId="22">
    <w:name w:val="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3">
    <w:name w:val="info_p"/>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Char Char Char Char Char Char Char"/>
    <w:basedOn w:val="1"/>
    <w:qFormat/>
    <w:uiPriority w:val="0"/>
    <w:rPr>
      <w:szCs w:val="21"/>
    </w:rPr>
  </w:style>
  <w:style w:type="paragraph" w:customStyle="1" w:styleId="25">
    <w:name w:val="txtc"/>
    <w:basedOn w:val="1"/>
    <w:qFormat/>
    <w:uiPriority w:val="0"/>
    <w:pPr>
      <w:widowControl/>
      <w:spacing w:before="100" w:beforeAutospacing="1" w:after="100" w:afterAutospacing="1"/>
      <w:jc w:val="left"/>
    </w:pPr>
    <w:rPr>
      <w:rFonts w:ascii="宋体" w:hAnsi="宋体" w:cs="宋体"/>
      <w:kern w:val="0"/>
      <w:sz w:val="24"/>
    </w:rPr>
  </w:style>
  <w:style w:type="paragraph" w:styleId="26">
    <w:name w:val="No Spacing"/>
    <w:qFormat/>
    <w:uiPriority w:val="0"/>
    <w:pPr>
      <w:widowControl w:val="0"/>
      <w:jc w:val="both"/>
    </w:pPr>
    <w:rPr>
      <w:rFonts w:ascii="Times New Roman" w:hAnsi="Times New Roman" w:eastAsia="仿宋_GB2312" w:cs="Times New Roman"/>
      <w:kern w:val="2"/>
      <w:sz w:val="32"/>
      <w:lang w:val="en-US" w:eastAsia="zh-CN" w:bidi="ar-SA"/>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95BFD-9982-492E-88F2-57991DD26AB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995</Words>
  <Characters>5674</Characters>
  <Lines>47</Lines>
  <Paragraphs>13</Paragraphs>
  <TotalTime>424</TotalTime>
  <ScaleCrop>false</ScaleCrop>
  <LinksUpToDate>false</LinksUpToDate>
  <CharactersWithSpaces>6656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2021-11-29T00:14:00Z</dcterms:created>
  <dc:creator>User</dc:creator>
  <cp:lastModifiedBy>Administrator</cp:lastModifiedBy>
  <cp:lastPrinted>2021-12-06T05:44:00Z</cp:lastPrinted>
  <dcterms:modified xsi:type="dcterms:W3CDTF">2021-12-14T01:37:38Z</dcterms:modified>
  <dc:title>盖州市增收节支暂行规定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