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jc w:val="center"/>
        <w:rPr>
          <w:rFonts w:ascii="宋体" w:hAnsi="宋体" w:cs="宋体"/>
          <w:b/>
          <w:color w:val="000000"/>
          <w:kern w:val="0"/>
          <w:sz w:val="36"/>
          <w:szCs w:val="36"/>
        </w:rPr>
      </w:pPr>
      <w:r>
        <w:rPr>
          <w:rFonts w:hint="eastAsia" w:ascii="宋体" w:hAnsi="宋体" w:cs="宋体"/>
          <w:b/>
          <w:color w:val="000000"/>
          <w:kern w:val="0"/>
          <w:sz w:val="36"/>
          <w:szCs w:val="36"/>
        </w:rPr>
        <w:t>20</w:t>
      </w:r>
      <w:r>
        <w:rPr>
          <w:rFonts w:hint="eastAsia" w:ascii="宋体" w:hAnsi="宋体" w:cs="宋体"/>
          <w:b/>
          <w:color w:val="000000"/>
          <w:kern w:val="0"/>
          <w:sz w:val="36"/>
          <w:szCs w:val="36"/>
          <w:lang w:val="en-US" w:eastAsia="zh-CN"/>
        </w:rPr>
        <w:t>21</w:t>
      </w:r>
      <w:r>
        <w:rPr>
          <w:rFonts w:hint="eastAsia" w:ascii="宋体" w:hAnsi="宋体" w:cs="宋体"/>
          <w:b/>
          <w:color w:val="000000"/>
          <w:kern w:val="0"/>
          <w:sz w:val="36"/>
          <w:szCs w:val="36"/>
        </w:rPr>
        <w:t>年</w:t>
      </w:r>
      <w:r>
        <w:rPr>
          <w:rFonts w:hint="eastAsia" w:ascii="宋体" w:hAnsi="宋体" w:cs="宋体"/>
          <w:b/>
          <w:color w:val="000000"/>
          <w:kern w:val="0"/>
          <w:sz w:val="36"/>
          <w:szCs w:val="36"/>
          <w:lang w:eastAsia="zh-CN"/>
        </w:rPr>
        <w:t>盖州市海洋与渔业局</w:t>
      </w:r>
      <w:r>
        <w:rPr>
          <w:rFonts w:hint="eastAsia" w:ascii="宋体" w:hAnsi="宋体" w:cs="宋体"/>
          <w:b/>
          <w:color w:val="000000"/>
          <w:kern w:val="0"/>
          <w:sz w:val="36"/>
          <w:szCs w:val="36"/>
        </w:rPr>
        <w:t>预算公开情况</w:t>
      </w:r>
    </w:p>
    <w:p>
      <w:pPr>
        <w:widowControl/>
        <w:spacing w:line="315" w:lineRule="atLeast"/>
        <w:jc w:val="left"/>
        <w:rPr>
          <w:rFonts w:hint="eastAsia" w:ascii="宋体" w:hAnsi="宋体" w:cs="宋体"/>
          <w:color w:val="000000"/>
          <w:kern w:val="0"/>
          <w:sz w:val="32"/>
          <w:szCs w:val="32"/>
        </w:rPr>
      </w:pP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盖州市海洋与渔业局</w:t>
      </w:r>
      <w:r>
        <w:rPr>
          <w:rFonts w:hint="eastAsia" w:ascii="仿宋" w:hAnsi="仿宋" w:eastAsia="仿宋" w:cs="宋体"/>
          <w:color w:val="000000"/>
          <w:kern w:val="0"/>
          <w:sz w:val="32"/>
          <w:szCs w:val="32"/>
        </w:rPr>
        <w:t>是贯彻执行国家和省、市有关</w:t>
      </w:r>
      <w:r>
        <w:rPr>
          <w:rFonts w:hint="eastAsia" w:ascii="仿宋" w:hAnsi="仿宋" w:eastAsia="仿宋" w:cs="宋体"/>
          <w:color w:val="000000"/>
          <w:kern w:val="0"/>
          <w:sz w:val="32"/>
          <w:szCs w:val="32"/>
          <w:lang w:eastAsia="zh-CN"/>
        </w:rPr>
        <w:t>海洋与渔业管理</w:t>
      </w:r>
      <w:r>
        <w:rPr>
          <w:rFonts w:hint="eastAsia" w:ascii="仿宋" w:hAnsi="仿宋" w:eastAsia="仿宋" w:cs="宋体"/>
          <w:color w:val="000000"/>
          <w:kern w:val="0"/>
          <w:sz w:val="32"/>
          <w:szCs w:val="32"/>
        </w:rPr>
        <w:t>工作的行政机关。</w:t>
      </w:r>
    </w:p>
    <w:p>
      <w:pPr>
        <w:ind w:firstLine="602" w:firstLineChars="200"/>
        <w:rPr>
          <w:rFonts w:hint="eastAsia" w:ascii="仿宋" w:hAnsi="仿宋" w:eastAsia="仿宋" w:cs="宋体"/>
          <w:b/>
          <w:bCs/>
          <w:color w:val="000000"/>
          <w:kern w:val="0"/>
          <w:sz w:val="32"/>
          <w:szCs w:val="32"/>
          <w:lang w:eastAsia="zh-CN"/>
        </w:rPr>
      </w:pPr>
      <w:r>
        <w:rPr>
          <w:rFonts w:hint="eastAsia"/>
          <w:b/>
          <w:bCs/>
          <w:sz w:val="30"/>
          <w:szCs w:val="30"/>
        </w:rPr>
        <w:t>一、主要职责</w:t>
      </w:r>
    </w:p>
    <w:p>
      <w:pPr>
        <w:ind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一是贯彻执行国家、省关于发展海洋与渔业的方针、政策和法律、法规；拟定全市海洋与渔业规范文件、规章并组织实施，负责海洋渔业的安全生产工作。</w:t>
      </w:r>
    </w:p>
    <w:p>
      <w:pPr>
        <w:ind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二是依法保护海洋资源与渔业资源所有者和使用者的合法权益；依照有关规定负责有关行政复议；承办处理重大权益纠纷，查处重大违法案件。</w:t>
      </w:r>
    </w:p>
    <w:p>
      <w:pPr>
        <w:ind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三是监督管理全市海域和海岸带的使用及海岸带管理工作。颁发海域使用证，按规定实施海域和海洋资源有偿使用制度；承担组织海域勘界；参与审批海洋、海岛、海岸带和内陆渔业水域重大工程项目。</w:t>
      </w:r>
    </w:p>
    <w:p>
      <w:pPr>
        <w:ind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四是贯彻执行污染物排海标准和总量控制制度；按照国家和省规定的标准，监督陆源污染物排入海洋；主管防止海洋石油勘探开发、海洋倾废、海洋工程、内陆渔业作业造成污染损害的环境保护；管理海洋环境与内陆渔业环境的调查、监督、监视和评价，负责渔业环境污染事故的调查处理；监督海洋生物多样性的海洋生态环境及水生野生动植物保护；监督管理海洋与内陆渔业水域自然保护区和特别保护区；核准新建、改建、扩建海岸带和海洋工程项目的环境影响报告书。</w:t>
      </w:r>
    </w:p>
    <w:p>
      <w:pPr>
        <w:ind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五是审批并核发水产养殖许可证和水产种苗生产许可证；依法组织实施水生动物防疫检疫工作；依法对渔药使用情况监督检查；负责全市渔业养殖病害防治网络建设和管理。负责全市的渔业技术推广。</w:t>
      </w:r>
    </w:p>
    <w:p>
      <w:pPr>
        <w:ind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六是提供发布海洋灾害预报警报和海洋环境年度预报，负责海洋信息系统建设；组织海上渔业抢险救助。</w:t>
      </w:r>
    </w:p>
    <w:p>
      <w:pPr>
        <w:numPr>
          <w:ilvl w:val="0"/>
          <w:numId w:val="1"/>
        </w:numPr>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部门预算公开表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1.部门收支总体情况表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2.部门收入总表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3.部门支出总体情况表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4.财政拨款收支总表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5.一般公共预算支出表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6.“三公”经费支出情况表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7.一般公共预算基本支出情况表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8.政府性基金预算收支情况表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9.政府采购表</w:t>
      </w:r>
    </w:p>
    <w:p>
      <w:pPr>
        <w:numPr>
          <w:ilvl w:val="0"/>
          <w:numId w:val="0"/>
        </w:numPr>
        <w:ind w:firstLine="642"/>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10.政府购买服务表</w:t>
      </w:r>
    </w:p>
    <w:p>
      <w:pPr>
        <w:widowControl/>
        <w:spacing w:line="315" w:lineRule="atLeast"/>
        <w:jc w:val="lef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lang w:eastAsia="zh-CN"/>
        </w:rPr>
        <w:t>三、</w:t>
      </w:r>
      <w:r>
        <w:rPr>
          <w:rFonts w:hint="eastAsia" w:ascii="仿宋" w:hAnsi="仿宋" w:eastAsia="仿宋" w:cs="宋体"/>
          <w:b/>
          <w:color w:val="000000"/>
          <w:kern w:val="0"/>
          <w:sz w:val="32"/>
          <w:szCs w:val="32"/>
        </w:rPr>
        <w:t>机构设置情况</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根据上述职责，</w:t>
      </w:r>
      <w:r>
        <w:rPr>
          <w:rFonts w:hint="eastAsia" w:eastAsia="仿宋_GB2312"/>
          <w:sz w:val="32"/>
          <w:szCs w:val="32"/>
          <w:lang w:eastAsia="zh-CN"/>
        </w:rPr>
        <w:t>海洋与渔业局</w:t>
      </w:r>
      <w:r>
        <w:rPr>
          <w:rFonts w:hint="eastAsia" w:ascii="仿宋_GB2312" w:hAnsi="宋体" w:eastAsia="仿宋_GB2312" w:cs="宋体"/>
          <w:color w:val="000000"/>
          <w:kern w:val="0"/>
          <w:sz w:val="32"/>
          <w:szCs w:val="32"/>
        </w:rPr>
        <w:t>设3个内设机构：</w:t>
      </w:r>
    </w:p>
    <w:p>
      <w:pPr>
        <w:ind w:firstLine="630"/>
        <w:rPr>
          <w:rFonts w:hint="eastAsia" w:ascii="楷体_GB2312" w:hAnsi="仿宋" w:eastAsia="楷体_GB2312"/>
          <w:b/>
          <w:sz w:val="32"/>
          <w:szCs w:val="32"/>
          <w:lang w:eastAsia="zh-CN"/>
        </w:rPr>
      </w:pPr>
      <w:r>
        <w:rPr>
          <w:rFonts w:hint="eastAsia" w:ascii="楷体_GB2312" w:hAnsi="仿宋" w:eastAsia="楷体_GB2312"/>
          <w:b/>
          <w:sz w:val="32"/>
          <w:szCs w:val="32"/>
        </w:rPr>
        <w:t>(一)办公室</w:t>
      </w:r>
      <w:r>
        <w:rPr>
          <w:rFonts w:hint="eastAsia" w:ascii="楷体_GB2312" w:hAnsi="仿宋" w:eastAsia="楷体_GB2312"/>
          <w:b/>
          <w:sz w:val="32"/>
          <w:szCs w:val="32"/>
          <w:lang w:eastAsia="zh-CN"/>
        </w:rPr>
        <w:t>（行政审批科）</w:t>
      </w:r>
    </w:p>
    <w:p>
      <w:pPr>
        <w:ind w:firstLine="645"/>
        <w:rPr>
          <w:rFonts w:hint="eastAsia" w:ascii="仿宋" w:hAnsi="仿宋" w:eastAsia="仿宋"/>
          <w:sz w:val="32"/>
          <w:szCs w:val="32"/>
          <w:lang w:val="en-US" w:eastAsia="zh-CN"/>
        </w:rPr>
      </w:pPr>
      <w:r>
        <w:rPr>
          <w:rFonts w:hint="eastAsia" w:ascii="仿宋" w:hAnsi="仿宋" w:eastAsia="仿宋"/>
          <w:sz w:val="32"/>
          <w:szCs w:val="32"/>
        </w:rPr>
        <w:t>协助</w:t>
      </w:r>
      <w:r>
        <w:rPr>
          <w:rFonts w:hint="eastAsia" w:ascii="仿宋" w:hAnsi="仿宋" w:eastAsia="仿宋"/>
          <w:sz w:val="32"/>
          <w:szCs w:val="32"/>
          <w:lang w:eastAsia="zh-CN"/>
        </w:rPr>
        <w:t>局</w:t>
      </w:r>
      <w:r>
        <w:rPr>
          <w:rFonts w:hint="eastAsia" w:ascii="仿宋" w:hAnsi="仿宋" w:eastAsia="仿宋"/>
          <w:sz w:val="32"/>
          <w:szCs w:val="32"/>
        </w:rPr>
        <w:t>领导处理机关政务，协调机关事务；负责</w:t>
      </w:r>
      <w:r>
        <w:rPr>
          <w:rFonts w:hint="eastAsia" w:ascii="仿宋" w:hAnsi="仿宋" w:eastAsia="仿宋"/>
          <w:sz w:val="32"/>
          <w:szCs w:val="32"/>
          <w:lang w:eastAsia="zh-CN"/>
        </w:rPr>
        <w:t>机关</w:t>
      </w:r>
      <w:r>
        <w:rPr>
          <w:rFonts w:hint="eastAsia" w:ascii="仿宋" w:hAnsi="仿宋" w:eastAsia="仿宋"/>
          <w:sz w:val="32"/>
          <w:szCs w:val="32"/>
        </w:rPr>
        <w:t>文</w:t>
      </w:r>
      <w:r>
        <w:rPr>
          <w:rFonts w:hint="eastAsia" w:ascii="仿宋" w:hAnsi="仿宋" w:eastAsia="仿宋"/>
          <w:sz w:val="32"/>
          <w:szCs w:val="32"/>
          <w:lang w:eastAsia="zh-CN"/>
        </w:rPr>
        <w:t>秘</w:t>
      </w:r>
      <w:r>
        <w:rPr>
          <w:rFonts w:hint="eastAsia" w:ascii="仿宋" w:hAnsi="仿宋" w:eastAsia="仿宋"/>
          <w:sz w:val="32"/>
          <w:szCs w:val="32"/>
        </w:rPr>
        <w:t>、档案</w:t>
      </w:r>
      <w:r>
        <w:rPr>
          <w:rFonts w:hint="eastAsia" w:ascii="仿宋" w:hAnsi="仿宋" w:eastAsia="仿宋"/>
          <w:sz w:val="32"/>
          <w:szCs w:val="32"/>
          <w:lang w:eastAsia="zh-CN"/>
        </w:rPr>
        <w:t>、信息、保密、财务、信访、后勤和车辆管理工作；指导直属单位的财务管理；负责局直属单位的审计工作；负责局机关和直属单位的人事和劳动工资工作；负责机关和直属单位干部的管理工作；负责机关和直属单位的党务工作，老干部的管理服务工作；负责计划生育工作；负责机关和直属事业单位行政审批工作。</w:t>
      </w:r>
    </w:p>
    <w:p>
      <w:pPr>
        <w:ind w:firstLine="630"/>
        <w:rPr>
          <w:rFonts w:hint="eastAsia" w:ascii="楷体_GB2312" w:hAnsi="仿宋" w:eastAsia="楷体_GB2312"/>
          <w:b/>
          <w:sz w:val="32"/>
          <w:szCs w:val="32"/>
        </w:rPr>
      </w:pPr>
      <w:r>
        <w:rPr>
          <w:rFonts w:hint="eastAsia" w:ascii="楷体_GB2312" w:hAnsi="仿宋" w:eastAsia="楷体_GB2312"/>
          <w:b/>
          <w:sz w:val="32"/>
          <w:szCs w:val="32"/>
        </w:rPr>
        <w:t xml:space="preserve"> (二)</w:t>
      </w:r>
      <w:r>
        <w:rPr>
          <w:rFonts w:hint="eastAsia" w:ascii="楷体_GB2312" w:hAnsi="仿宋" w:eastAsia="楷体_GB2312"/>
          <w:b/>
          <w:sz w:val="32"/>
          <w:szCs w:val="32"/>
          <w:lang w:eastAsia="zh-CN"/>
        </w:rPr>
        <w:t>海洋渔业管理</w:t>
      </w:r>
      <w:r>
        <w:rPr>
          <w:rFonts w:hint="eastAsia" w:ascii="楷体_GB2312" w:hAnsi="仿宋" w:eastAsia="楷体_GB2312"/>
          <w:b/>
          <w:sz w:val="32"/>
          <w:szCs w:val="32"/>
        </w:rPr>
        <w:t>科</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负责</w:t>
      </w:r>
      <w:r>
        <w:rPr>
          <w:rFonts w:hint="eastAsia" w:ascii="仿宋" w:hAnsi="仿宋" w:eastAsia="仿宋"/>
          <w:sz w:val="32"/>
          <w:szCs w:val="32"/>
          <w:lang w:eastAsia="zh-CN"/>
        </w:rPr>
        <w:t>研究提出全市海岸带及所墨守成规海域管理的有关政策规定；负责拟订海洋功能区划、海洋开发规划、海洋环境保护与整治规划；负责组织海洋资源的调查评价，海域堪界和海洋科技成果的申报和推广工作；负责海洋设施建造、海底工程、其它海洋开发项目和新建、改扩大建海岸带及海洋工程项目环境影响报告书，提供发布海洋环境观测、监测，灾害预报警报的有关数据；负责海域使用的审核及上报审批，海域使用证的发放和海域使用金的收缴，档案、资料、文件的管理工作；负责编制全市渔业经济发展规划和年度生产计划，并组织实施；负责渔业养殖增殖、海洋捕捞、水产品加工，流通的业务指导和技术咨询，生产统计，种苗管理，渔业节能工作；负责审核水产养殖和水产种苗生产工作；负责组织实施水产品无公害产地认定和认证，绿色证书培训，依法对渔药使用情况监督检查，组织水产项目的申报、实施和检查。负责指导渔业产业结构调整、资源配置，渔船渔机渔网具的技术改造，建设渔业社会化服务体系和合作经济组织，收集传递国内外水产品市场信息。</w:t>
      </w:r>
    </w:p>
    <w:p>
      <w:pPr>
        <w:ind w:firstLine="630"/>
        <w:rPr>
          <w:rFonts w:hint="eastAsia" w:ascii="楷体_GB2312" w:hAnsi="仿宋" w:eastAsia="楷体_GB2312"/>
          <w:b/>
          <w:sz w:val="32"/>
          <w:szCs w:val="32"/>
        </w:rPr>
      </w:pPr>
      <w:r>
        <w:rPr>
          <w:rFonts w:hint="eastAsia" w:ascii="楷体_GB2312" w:hAnsi="仿宋" w:eastAsia="楷体_GB2312"/>
          <w:b/>
          <w:sz w:val="32"/>
          <w:szCs w:val="32"/>
        </w:rPr>
        <w:t>(三)</w:t>
      </w:r>
      <w:r>
        <w:rPr>
          <w:rFonts w:hint="eastAsia" w:ascii="楷体_GB2312" w:hAnsi="仿宋" w:eastAsia="楷体_GB2312"/>
          <w:b/>
          <w:sz w:val="32"/>
          <w:szCs w:val="32"/>
          <w:lang w:eastAsia="zh-CN"/>
        </w:rPr>
        <w:t>安全生产</w:t>
      </w:r>
      <w:r>
        <w:rPr>
          <w:rFonts w:hint="eastAsia" w:ascii="楷体_GB2312" w:hAnsi="仿宋" w:eastAsia="楷体_GB2312"/>
          <w:b/>
          <w:sz w:val="32"/>
          <w:szCs w:val="32"/>
        </w:rPr>
        <w:t>科</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贯彻执行上级安全生产工作的方针政策，监督落实有关法律、法规及安全规定。负责对辖区渔业船舶和渔港水域安全实施监督检查，及时消除渔业安全隐患。负责本地区渔港安全生产监督管理工作，落实渔港安全治理措施，完善渔港安全基础设施；推进渔港码头的管理、修缮、养护工作，保障渔港设施在安全工作状态，消除渔港安全隐患。负责督促落实渔业安全宣传教育培训。负责本地区渔业防台防汛预案、渔业船舶水上突发事件应急预案的制定和组织实施，落实海洋渔业防灾减灾工作及</w:t>
      </w:r>
      <w:r>
        <w:rPr>
          <w:rFonts w:hint="eastAsia" w:ascii="仿宋" w:hAnsi="仿宋" w:eastAsia="仿宋"/>
          <w:sz w:val="32"/>
          <w:szCs w:val="32"/>
          <w:lang w:val="en-US" w:eastAsia="zh-CN"/>
        </w:rPr>
        <w:t>24小时值班班值宿制度及时将海洋灾害的预警信息和安全生产信息传递到位，协助有关部门进行海上渔业抢险救助工作。进行渔业船舶水上安全事故和抢险救助情况的统计上报；协助配合有关部门对渔业船舶水上安全事故进行调查处理。协调组织沿海镇、办事处、村做好渔船安全生产和制止越界捕捞的监督管理；配合本级政府做好渔船事故、涉外渔业事件的善后处理工作。指导和督促检查沿海镇、办事处、村渔业安全管理工作，落实渔船编组编队生产作业制度；负责对基层渔业安全员的管理考核。支持推动当地渔业协会建设，并发挥其在安全生产工作的积极作</w:t>
      </w:r>
      <w:bookmarkStart w:id="0" w:name="_GoBack"/>
      <w:r>
        <w:rPr>
          <w:rFonts w:hint="eastAsia" w:ascii="仿宋" w:hAnsi="仿宋" w:eastAsia="仿宋"/>
          <w:sz w:val="32"/>
          <w:szCs w:val="32"/>
          <w:lang w:val="en-US" w:eastAsia="zh-CN"/>
        </w:rPr>
        <w:t>用。履行法律、法规规定的其它安全生产方面职责。</w:t>
      </w:r>
    </w:p>
    <w:p>
      <w:pPr>
        <w:widowControl/>
        <w:spacing w:line="315" w:lineRule="atLeast"/>
        <w:jc w:val="lef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lang w:eastAsia="zh-CN"/>
        </w:rPr>
        <w:t>四、</w:t>
      </w:r>
      <w:r>
        <w:rPr>
          <w:rFonts w:hint="eastAsia" w:ascii="仿宋" w:hAnsi="仿宋" w:eastAsia="仿宋" w:cs="宋体"/>
          <w:b/>
          <w:color w:val="000000"/>
          <w:kern w:val="0"/>
          <w:sz w:val="32"/>
          <w:szCs w:val="32"/>
        </w:rPr>
        <w:t>部门预算单位构成</w:t>
      </w:r>
    </w:p>
    <w:p>
      <w:pPr>
        <w:widowControl/>
        <w:spacing w:line="315" w:lineRule="atLeas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color w:val="000000"/>
          <w:kern w:val="0"/>
          <w:sz w:val="32"/>
          <w:szCs w:val="32"/>
        </w:rPr>
        <w:t>1.</w:t>
      </w:r>
      <w:r>
        <w:rPr>
          <w:rFonts w:hint="eastAsia" w:ascii="仿宋" w:hAnsi="仿宋" w:eastAsia="仿宋" w:cs="宋体"/>
          <w:kern w:val="0"/>
          <w:sz w:val="32"/>
          <w:szCs w:val="32"/>
          <w:lang w:eastAsia="zh-CN"/>
        </w:rPr>
        <w:t>盖州市海洋与渔业局</w:t>
      </w:r>
    </w:p>
    <w:p>
      <w:pPr>
        <w:widowControl/>
        <w:spacing w:line="315" w:lineRule="atLeas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2.</w:t>
      </w:r>
      <w:r>
        <w:rPr>
          <w:rFonts w:hint="eastAsia" w:ascii="仿宋" w:hAnsi="仿宋" w:eastAsia="仿宋" w:cs="宋体"/>
          <w:kern w:val="0"/>
          <w:sz w:val="32"/>
          <w:szCs w:val="32"/>
          <w:lang w:eastAsia="zh-CN"/>
        </w:rPr>
        <w:t>中国海监盖州市支队</w:t>
      </w:r>
    </w:p>
    <w:p>
      <w:pPr>
        <w:widowControl/>
        <w:spacing w:line="315" w:lineRule="atLeast"/>
        <w:ind w:firstLine="640" w:firstLineChars="200"/>
        <w:jc w:val="left"/>
        <w:rPr>
          <w:rFonts w:hint="eastAsia" w:ascii="仿宋" w:hAnsi="仿宋" w:eastAsia="仿宋" w:cs="宋体"/>
          <w:color w:val="000000"/>
          <w:kern w:val="0"/>
          <w:sz w:val="32"/>
          <w:szCs w:val="32"/>
          <w:lang w:eastAsia="zh-CN"/>
        </w:rPr>
      </w:pPr>
    </w:p>
    <w:p>
      <w:pPr>
        <w:widowControl/>
        <w:spacing w:line="315" w:lineRule="atLeast"/>
        <w:ind w:firstLine="640" w:firstLineChars="200"/>
        <w:jc w:val="left"/>
        <w:rPr>
          <w:rFonts w:hint="eastAsia" w:ascii="仿宋" w:hAnsi="仿宋" w:eastAsia="仿宋" w:cs="宋体"/>
          <w:color w:val="000000"/>
          <w:kern w:val="0"/>
          <w:sz w:val="32"/>
          <w:szCs w:val="32"/>
          <w:lang w:eastAsia="zh-CN"/>
        </w:rPr>
      </w:pPr>
    </w:p>
    <w:p>
      <w:pPr>
        <w:widowControl/>
        <w:spacing w:line="315" w:lineRule="atLeas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盖州市海洋与渔业局</w:t>
      </w:r>
      <w:r>
        <w:rPr>
          <w:rFonts w:hint="eastAsia" w:ascii="仿宋" w:hAnsi="仿宋" w:eastAsia="仿宋" w:cs="宋体"/>
          <w:color w:val="000000"/>
          <w:kern w:val="0"/>
          <w:sz w:val="32"/>
          <w:szCs w:val="32"/>
        </w:rPr>
        <w:t>预算数据为包括</w:t>
      </w:r>
      <w:r>
        <w:rPr>
          <w:rFonts w:hint="eastAsia" w:ascii="仿宋" w:hAnsi="仿宋" w:eastAsia="仿宋" w:cs="宋体"/>
          <w:color w:val="000000"/>
          <w:kern w:val="0"/>
          <w:sz w:val="32"/>
          <w:szCs w:val="32"/>
          <w:lang w:eastAsia="zh-CN"/>
        </w:rPr>
        <w:t>盖州市海洋与渔业局</w:t>
      </w:r>
      <w:r>
        <w:rPr>
          <w:rFonts w:hint="eastAsia" w:ascii="仿宋" w:hAnsi="仿宋" w:eastAsia="仿宋" w:cs="宋体"/>
          <w:color w:val="000000"/>
          <w:kern w:val="0"/>
          <w:sz w:val="32"/>
          <w:szCs w:val="32"/>
        </w:rPr>
        <w:t>（本级）在内的所有下属单位的汇总预算。</w:t>
      </w:r>
    </w:p>
    <w:p>
      <w:pPr>
        <w:widowControl/>
        <w:spacing w:line="315" w:lineRule="atLeast"/>
        <w:jc w:val="left"/>
        <w:rPr>
          <w:rFonts w:hint="eastAsia" w:ascii="仿宋" w:hAnsi="仿宋" w:eastAsia="仿宋" w:cs="宋体"/>
          <w:b/>
          <w:bCs w:val="0"/>
          <w:color w:val="FF00FF"/>
          <w:kern w:val="0"/>
          <w:sz w:val="32"/>
          <w:szCs w:val="32"/>
        </w:rPr>
      </w:pPr>
      <w:r>
        <w:rPr>
          <w:rFonts w:hint="eastAsia" w:ascii="仿宋" w:hAnsi="仿宋" w:eastAsia="仿宋" w:cs="宋体"/>
          <w:b/>
          <w:bCs w:val="0"/>
          <w:color w:val="FF00FF"/>
          <w:kern w:val="0"/>
          <w:sz w:val="32"/>
          <w:szCs w:val="32"/>
          <w:lang w:eastAsia="zh-CN"/>
        </w:rPr>
        <w:t>五、</w:t>
      </w:r>
      <w:r>
        <w:rPr>
          <w:rFonts w:hint="eastAsia" w:ascii="仿宋" w:hAnsi="仿宋" w:eastAsia="仿宋" w:cs="宋体"/>
          <w:b/>
          <w:bCs w:val="0"/>
          <w:color w:val="FF00FF"/>
          <w:kern w:val="0"/>
          <w:sz w:val="32"/>
          <w:szCs w:val="32"/>
        </w:rPr>
        <w:t>部门预算情况说明</w:t>
      </w:r>
    </w:p>
    <w:p>
      <w:pPr>
        <w:widowControl/>
        <w:spacing w:line="315" w:lineRule="atLeast"/>
        <w:ind w:firstLine="640" w:firstLineChars="200"/>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 xml:space="preserve"> 1、部门收支预算总体说明</w:t>
      </w:r>
    </w:p>
    <w:p>
      <w:pPr>
        <w:widowControl/>
        <w:spacing w:line="315" w:lineRule="atLeast"/>
        <w:ind w:firstLine="800" w:firstLineChars="250"/>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20</w:t>
      </w:r>
      <w:r>
        <w:rPr>
          <w:rFonts w:hint="eastAsia" w:ascii="仿宋" w:hAnsi="仿宋" w:eastAsia="仿宋" w:cs="宋体"/>
          <w:bCs/>
          <w:color w:val="000000"/>
          <w:kern w:val="0"/>
          <w:sz w:val="32"/>
          <w:szCs w:val="32"/>
          <w:lang w:val="en-US" w:eastAsia="zh-CN"/>
        </w:rPr>
        <w:t>21</w:t>
      </w:r>
      <w:r>
        <w:rPr>
          <w:rFonts w:hint="eastAsia" w:ascii="仿宋" w:hAnsi="仿宋" w:eastAsia="仿宋" w:cs="宋体"/>
          <w:bCs/>
          <w:color w:val="000000"/>
          <w:kern w:val="0"/>
          <w:sz w:val="32"/>
          <w:szCs w:val="32"/>
        </w:rPr>
        <w:t>年预算收入</w:t>
      </w:r>
      <w:r>
        <w:rPr>
          <w:rFonts w:hint="eastAsia" w:ascii="仿宋" w:hAnsi="仿宋" w:eastAsia="仿宋" w:cs="宋体"/>
          <w:bCs/>
          <w:color w:val="000000"/>
          <w:kern w:val="0"/>
          <w:sz w:val="32"/>
          <w:szCs w:val="32"/>
          <w:lang w:val="en-US" w:eastAsia="zh-CN"/>
        </w:rPr>
        <w:t>180.49</w:t>
      </w:r>
      <w:r>
        <w:rPr>
          <w:rFonts w:hint="eastAsia" w:ascii="仿宋" w:hAnsi="仿宋" w:eastAsia="仿宋" w:cs="宋体"/>
          <w:bCs/>
          <w:color w:val="000000"/>
          <w:kern w:val="0"/>
          <w:sz w:val="32"/>
          <w:szCs w:val="32"/>
        </w:rPr>
        <w:t>万元。预算支出经济分类：工资福利支出：</w:t>
      </w:r>
      <w:r>
        <w:rPr>
          <w:rFonts w:hint="eastAsia" w:ascii="仿宋" w:hAnsi="仿宋" w:eastAsia="仿宋" w:cs="宋体"/>
          <w:bCs/>
          <w:color w:val="000000"/>
          <w:kern w:val="0"/>
          <w:sz w:val="32"/>
          <w:szCs w:val="32"/>
          <w:lang w:val="en-US" w:eastAsia="zh-CN"/>
        </w:rPr>
        <w:t>145.11</w:t>
      </w:r>
      <w:r>
        <w:rPr>
          <w:rFonts w:hint="eastAsia" w:ascii="仿宋" w:hAnsi="仿宋" w:eastAsia="仿宋" w:cs="宋体"/>
          <w:bCs/>
          <w:color w:val="000000"/>
          <w:kern w:val="0"/>
          <w:sz w:val="32"/>
          <w:szCs w:val="32"/>
        </w:rPr>
        <w:t>万元;商品和服务支出：</w:t>
      </w:r>
      <w:r>
        <w:rPr>
          <w:rFonts w:hint="eastAsia" w:ascii="仿宋" w:hAnsi="仿宋" w:eastAsia="仿宋" w:cs="宋体"/>
          <w:bCs/>
          <w:color w:val="000000"/>
          <w:kern w:val="0"/>
          <w:sz w:val="32"/>
          <w:szCs w:val="32"/>
          <w:lang w:val="en-US" w:eastAsia="zh-CN"/>
        </w:rPr>
        <w:t>7.53</w:t>
      </w:r>
      <w:r>
        <w:rPr>
          <w:rFonts w:hint="eastAsia" w:ascii="仿宋" w:hAnsi="仿宋" w:eastAsia="仿宋" w:cs="宋体"/>
          <w:bCs/>
          <w:color w:val="000000"/>
          <w:kern w:val="0"/>
          <w:sz w:val="32"/>
          <w:szCs w:val="32"/>
        </w:rPr>
        <w:t>万元；对个人和家庭的补助：</w:t>
      </w:r>
      <w:r>
        <w:rPr>
          <w:rFonts w:hint="eastAsia" w:ascii="仿宋" w:hAnsi="仿宋" w:eastAsia="仿宋" w:cs="宋体"/>
          <w:bCs/>
          <w:color w:val="000000"/>
          <w:kern w:val="0"/>
          <w:sz w:val="32"/>
          <w:szCs w:val="32"/>
          <w:lang w:val="en-US" w:eastAsia="zh-CN"/>
        </w:rPr>
        <w:t>4.86</w:t>
      </w:r>
      <w:r>
        <w:rPr>
          <w:rFonts w:hint="eastAsia" w:ascii="仿宋" w:hAnsi="仿宋" w:eastAsia="仿宋" w:cs="宋体"/>
          <w:bCs/>
          <w:color w:val="000000"/>
          <w:kern w:val="0"/>
          <w:sz w:val="32"/>
          <w:szCs w:val="32"/>
        </w:rPr>
        <w:t>万元；项目支出：</w:t>
      </w:r>
      <w:r>
        <w:rPr>
          <w:rFonts w:hint="eastAsia" w:ascii="仿宋" w:hAnsi="仿宋" w:eastAsia="仿宋" w:cs="宋体"/>
          <w:bCs/>
          <w:color w:val="000000"/>
          <w:kern w:val="0"/>
          <w:sz w:val="32"/>
          <w:szCs w:val="32"/>
          <w:lang w:val="en-US" w:eastAsia="zh-CN"/>
        </w:rPr>
        <w:t>23</w:t>
      </w:r>
      <w:r>
        <w:rPr>
          <w:rFonts w:hint="eastAsia" w:ascii="仿宋" w:hAnsi="仿宋" w:eastAsia="仿宋" w:cs="宋体"/>
          <w:bCs/>
          <w:color w:val="000000"/>
          <w:kern w:val="0"/>
          <w:sz w:val="32"/>
          <w:szCs w:val="32"/>
        </w:rPr>
        <w:t>万元。本单位没有基金收入，基金收支均为0。</w:t>
      </w:r>
    </w:p>
    <w:p>
      <w:pPr>
        <w:widowControl/>
        <w:spacing w:line="315" w:lineRule="atLeast"/>
        <w:ind w:firstLine="800" w:firstLineChars="250"/>
        <w:jc w:val="left"/>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预算支出功能分类：</w:t>
      </w:r>
      <w:r>
        <w:rPr>
          <w:rFonts w:hint="eastAsia" w:ascii="仿宋" w:hAnsi="仿宋" w:eastAsia="仿宋" w:cs="宋体"/>
          <w:color w:val="000000"/>
          <w:kern w:val="0"/>
          <w:sz w:val="32"/>
          <w:szCs w:val="32"/>
        </w:rPr>
        <w:t>社会保障和就业支出</w:t>
      </w:r>
      <w:r>
        <w:rPr>
          <w:rFonts w:hint="eastAsia" w:ascii="仿宋" w:hAnsi="仿宋" w:eastAsia="仿宋" w:cs="宋体"/>
          <w:color w:val="000000"/>
          <w:kern w:val="0"/>
          <w:sz w:val="32"/>
          <w:szCs w:val="32"/>
          <w:lang w:val="en-US" w:eastAsia="zh-CN"/>
        </w:rPr>
        <w:t>18.82</w:t>
      </w:r>
      <w:r>
        <w:rPr>
          <w:rFonts w:hint="eastAsia" w:ascii="仿宋" w:hAnsi="仿宋" w:eastAsia="仿宋" w:cs="宋体"/>
          <w:color w:val="000000"/>
          <w:kern w:val="0"/>
          <w:sz w:val="32"/>
          <w:szCs w:val="32"/>
        </w:rPr>
        <w:t>万元；医疗卫生与计划生育支出</w:t>
      </w:r>
      <w:r>
        <w:rPr>
          <w:rFonts w:hint="eastAsia" w:ascii="仿宋" w:hAnsi="仿宋" w:eastAsia="仿宋" w:cs="宋体"/>
          <w:color w:val="000000"/>
          <w:kern w:val="0"/>
          <w:sz w:val="32"/>
          <w:szCs w:val="32"/>
          <w:lang w:val="en-US" w:eastAsia="zh-CN"/>
        </w:rPr>
        <w:t>11.48</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农林水</w:t>
      </w:r>
      <w:r>
        <w:rPr>
          <w:rFonts w:hint="eastAsia" w:ascii="仿宋" w:hAnsi="仿宋" w:eastAsia="仿宋" w:cs="宋体"/>
          <w:color w:val="000000"/>
          <w:kern w:val="0"/>
          <w:sz w:val="32"/>
          <w:szCs w:val="32"/>
        </w:rPr>
        <w:t>支出</w:t>
      </w:r>
      <w:r>
        <w:rPr>
          <w:rFonts w:hint="eastAsia" w:ascii="仿宋" w:hAnsi="仿宋" w:eastAsia="仿宋" w:cs="宋体"/>
          <w:color w:val="000000"/>
          <w:kern w:val="0"/>
          <w:sz w:val="32"/>
          <w:szCs w:val="32"/>
          <w:lang w:val="en-US" w:eastAsia="zh-CN"/>
        </w:rPr>
        <w:t>119.88</w:t>
      </w:r>
      <w:r>
        <w:rPr>
          <w:rFonts w:hint="eastAsia" w:ascii="仿宋" w:hAnsi="仿宋" w:eastAsia="仿宋" w:cs="宋体"/>
          <w:color w:val="000000"/>
          <w:kern w:val="0"/>
          <w:sz w:val="32"/>
          <w:szCs w:val="32"/>
        </w:rPr>
        <w:t>万元；住房保障支出</w:t>
      </w:r>
      <w:r>
        <w:rPr>
          <w:rFonts w:hint="eastAsia" w:ascii="仿宋" w:hAnsi="仿宋" w:eastAsia="仿宋" w:cs="宋体"/>
          <w:color w:val="000000"/>
          <w:kern w:val="0"/>
          <w:sz w:val="32"/>
          <w:szCs w:val="32"/>
          <w:lang w:val="en-US" w:eastAsia="zh-CN"/>
        </w:rPr>
        <w:t>7.3</w:t>
      </w:r>
      <w:r>
        <w:rPr>
          <w:rFonts w:hint="eastAsia" w:ascii="仿宋" w:hAnsi="仿宋" w:eastAsia="仿宋" w:cs="宋体"/>
          <w:color w:val="000000"/>
          <w:kern w:val="0"/>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2、机关运行经费安排及政府采购等情况说明</w:t>
      </w:r>
    </w:p>
    <w:p>
      <w:pPr>
        <w:widowControl/>
        <w:ind w:firstLine="640" w:firstLineChars="200"/>
        <w:rPr>
          <w:rFonts w:hint="eastAsia" w:ascii="仿宋" w:hAnsi="仿宋" w:eastAsia="仿宋"/>
          <w:bCs/>
          <w:sz w:val="32"/>
          <w:szCs w:val="32"/>
        </w:rPr>
      </w:pPr>
      <w:r>
        <w:rPr>
          <w:rFonts w:hint="eastAsia" w:ascii="仿宋" w:hAnsi="仿宋" w:eastAsia="仿宋"/>
          <w:bCs/>
          <w:sz w:val="32"/>
          <w:szCs w:val="32"/>
          <w:lang w:eastAsia="zh-CN"/>
        </w:rPr>
        <w:t>盖州市海洋与渔业局</w:t>
      </w:r>
      <w:r>
        <w:rPr>
          <w:rFonts w:hint="eastAsia" w:ascii="仿宋" w:hAnsi="仿宋" w:eastAsia="仿宋"/>
          <w:bCs/>
          <w:sz w:val="32"/>
          <w:szCs w:val="32"/>
        </w:rPr>
        <w:t>20</w:t>
      </w:r>
      <w:r>
        <w:rPr>
          <w:rFonts w:hint="eastAsia" w:ascii="仿宋" w:hAnsi="仿宋" w:eastAsia="仿宋"/>
          <w:bCs/>
          <w:sz w:val="32"/>
          <w:szCs w:val="32"/>
          <w:lang w:val="en-US" w:eastAsia="zh-CN"/>
        </w:rPr>
        <w:t>21</w:t>
      </w:r>
      <w:r>
        <w:rPr>
          <w:rFonts w:hint="eastAsia" w:ascii="仿宋" w:hAnsi="仿宋" w:eastAsia="仿宋"/>
          <w:bCs/>
          <w:sz w:val="32"/>
          <w:szCs w:val="32"/>
        </w:rPr>
        <w:t>年度部门机关运行经费安排预算支出总计</w:t>
      </w:r>
      <w:r>
        <w:rPr>
          <w:rFonts w:hint="eastAsia" w:ascii="仿宋" w:hAnsi="仿宋" w:eastAsia="仿宋"/>
          <w:bCs/>
          <w:sz w:val="32"/>
          <w:szCs w:val="32"/>
          <w:lang w:val="en-US" w:eastAsia="zh-CN"/>
        </w:rPr>
        <w:t>180.49</w:t>
      </w:r>
      <w:r>
        <w:rPr>
          <w:rFonts w:hint="eastAsia" w:ascii="仿宋" w:hAnsi="仿宋" w:eastAsia="仿宋"/>
          <w:bCs/>
          <w:sz w:val="32"/>
          <w:szCs w:val="32"/>
        </w:rPr>
        <w:t>万元</w:t>
      </w:r>
      <w:r>
        <w:rPr>
          <w:rFonts w:hint="eastAsia" w:ascii="仿宋" w:hAnsi="仿宋" w:eastAsia="仿宋" w:cs="宋体"/>
          <w:kern w:val="0"/>
          <w:sz w:val="32"/>
          <w:szCs w:val="32"/>
        </w:rPr>
        <w:t>。</w:t>
      </w:r>
    </w:p>
    <w:p>
      <w:pPr>
        <w:ind w:firstLine="640" w:firstLineChars="200"/>
        <w:rPr>
          <w:rFonts w:hint="eastAsia" w:ascii="仿宋" w:hAnsi="仿宋" w:eastAsia="仿宋"/>
          <w:bCs/>
          <w:sz w:val="32"/>
          <w:szCs w:val="32"/>
        </w:rPr>
      </w:pPr>
      <w:r>
        <w:rPr>
          <w:rFonts w:hint="eastAsia" w:ascii="仿宋" w:hAnsi="仿宋" w:eastAsia="仿宋"/>
          <w:bCs/>
          <w:sz w:val="32"/>
          <w:szCs w:val="32"/>
        </w:rPr>
        <w:t>财政已对</w:t>
      </w:r>
      <w:r>
        <w:rPr>
          <w:rFonts w:hint="eastAsia" w:ascii="仿宋" w:hAnsi="仿宋" w:eastAsia="仿宋"/>
          <w:bCs/>
          <w:sz w:val="32"/>
          <w:szCs w:val="32"/>
          <w:lang w:eastAsia="zh-CN"/>
        </w:rPr>
        <w:t>盖州市海洋与渔业局</w:t>
      </w:r>
      <w:r>
        <w:rPr>
          <w:rFonts w:hint="eastAsia" w:ascii="仿宋" w:hAnsi="仿宋" w:eastAsia="仿宋"/>
          <w:bCs/>
          <w:sz w:val="32"/>
          <w:szCs w:val="32"/>
        </w:rPr>
        <w:t>20</w:t>
      </w:r>
      <w:r>
        <w:rPr>
          <w:rFonts w:hint="eastAsia" w:ascii="仿宋" w:hAnsi="仿宋" w:eastAsia="仿宋"/>
          <w:bCs/>
          <w:sz w:val="32"/>
          <w:szCs w:val="32"/>
          <w:lang w:val="en-US" w:eastAsia="zh-CN"/>
        </w:rPr>
        <w:t>21</w:t>
      </w:r>
      <w:r>
        <w:rPr>
          <w:rFonts w:hint="eastAsia" w:ascii="仿宋" w:hAnsi="仿宋" w:eastAsia="仿宋"/>
          <w:bCs/>
          <w:sz w:val="32"/>
          <w:szCs w:val="32"/>
        </w:rPr>
        <w:t>年度部门预算中的机关政府采购预算进行批复。</w:t>
      </w:r>
    </w:p>
    <w:bookmarkEnd w:id="0"/>
    <w:p>
      <w:pPr>
        <w:widowControl/>
        <w:spacing w:line="315" w:lineRule="atLeast"/>
        <w:ind w:firstLine="640" w:firstLineChars="200"/>
        <w:jc w:val="left"/>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3、有关“三公”经费的情况说明</w:t>
      </w:r>
    </w:p>
    <w:p>
      <w:pPr>
        <w:widowControl/>
        <w:spacing w:line="315" w:lineRule="atLeas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盖州市海洋与渔业局</w:t>
      </w: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21</w:t>
      </w:r>
      <w:r>
        <w:rPr>
          <w:rFonts w:hint="eastAsia" w:ascii="仿宋" w:hAnsi="仿宋" w:eastAsia="仿宋" w:cs="宋体"/>
          <w:color w:val="000000"/>
          <w:kern w:val="0"/>
          <w:sz w:val="32"/>
          <w:szCs w:val="32"/>
        </w:rPr>
        <w:t>年度部门预算数据中涉及“三公”经费的支出预算金额</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万元，其中因公出国费为0，公务接待费为0万元，公务用车运行费为</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万元。上年度预算列支金额</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万元，根据《党政机关厉行节约反对浪费条例》及“八项规定”等一系列政策出台后，全系统上下认真贯彻执行各规定，厉行节约，严格规范“三公”经费的使用，使该项支出下降。</w:t>
      </w:r>
    </w:p>
    <w:p>
      <w:pPr>
        <w:widowControl/>
        <w:numPr>
          <w:ilvl w:val="0"/>
          <w:numId w:val="2"/>
        </w:numPr>
        <w:spacing w:line="315" w:lineRule="atLeast"/>
        <w:ind w:firstLine="640" w:firstLineChars="2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绩效目标情况：按预算较好完成绩效目标</w:t>
      </w:r>
    </w:p>
    <w:p>
      <w:pPr>
        <w:widowControl/>
        <w:shd w:val="clear" w:color="auto" w:fill="FFFFFF"/>
        <w:spacing w:line="420" w:lineRule="atLeast"/>
        <w:ind w:firstLine="643"/>
        <w:textAlignment w:val="baseline"/>
        <w:rPr>
          <w:rFonts w:hint="eastAsia" w:ascii="微软雅黑" w:hAnsi="微软雅黑" w:eastAsia="微软雅黑" w:cs="宋体"/>
          <w:color w:val="222222"/>
          <w:kern w:val="0"/>
          <w:sz w:val="32"/>
          <w:szCs w:val="32"/>
        </w:rPr>
      </w:pPr>
      <w:r>
        <w:rPr>
          <w:rFonts w:hint="eastAsia" w:ascii="宋体" w:hAnsi="宋体" w:cs="宋体"/>
          <w:b/>
          <w:bCs/>
          <w:color w:val="222222"/>
          <w:kern w:val="0"/>
          <w:sz w:val="32"/>
          <w:szCs w:val="32"/>
        </w:rPr>
        <w:t>名词解释：</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1.财政拨款收入</w:t>
      </w:r>
      <w:r>
        <w:rPr>
          <w:rFonts w:hint="eastAsia" w:ascii="仿宋" w:hAnsi="仿宋" w:eastAsia="仿宋" w:cs="宋体"/>
          <w:color w:val="000000"/>
          <w:kern w:val="0"/>
          <w:sz w:val="32"/>
          <w:szCs w:val="32"/>
        </w:rPr>
        <w:t>：指市级财政当年拨付的资金。</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2.上级补助收入</w:t>
      </w:r>
      <w:r>
        <w:rPr>
          <w:rFonts w:hint="eastAsia" w:ascii="仿宋" w:hAnsi="仿宋" w:eastAsia="仿宋" w:cs="宋体"/>
          <w:color w:val="000000"/>
          <w:kern w:val="0"/>
          <w:sz w:val="32"/>
          <w:szCs w:val="32"/>
        </w:rPr>
        <w:t>：指单位从主管部门和上级单位取得的非财政性补助收入。</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3.事业收入</w:t>
      </w:r>
      <w:r>
        <w:rPr>
          <w:rFonts w:hint="eastAsia" w:ascii="仿宋" w:hAnsi="仿宋" w:eastAsia="仿宋" w:cs="宋体"/>
          <w:color w:val="000000"/>
          <w:kern w:val="0"/>
          <w:sz w:val="32"/>
          <w:szCs w:val="32"/>
        </w:rPr>
        <w:t>：指事业单位开展专业业务活动及辅助活动所取得的收入。</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4.经营收入</w:t>
      </w:r>
      <w:r>
        <w:rPr>
          <w:rFonts w:hint="eastAsia" w:ascii="仿宋" w:hAnsi="仿宋" w:eastAsia="仿宋" w:cs="宋体"/>
          <w:color w:val="000000"/>
          <w:kern w:val="0"/>
          <w:sz w:val="32"/>
          <w:szCs w:val="32"/>
        </w:rPr>
        <w:t>：指事业单位在专业业务活动及辅助活动之外开展非独立核算经营活动取得的收入。</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5.附属单位上缴收入</w:t>
      </w:r>
      <w:r>
        <w:rPr>
          <w:rFonts w:hint="eastAsia" w:ascii="仿宋" w:hAnsi="仿宋" w:eastAsia="仿宋" w:cs="宋体"/>
          <w:color w:val="000000"/>
          <w:kern w:val="0"/>
          <w:sz w:val="32"/>
          <w:szCs w:val="32"/>
        </w:rPr>
        <w:t>：指单位附属的独立核算单位按照规定上缴的收入。</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6.其他收入</w:t>
      </w:r>
      <w:r>
        <w:rPr>
          <w:rFonts w:hint="eastAsia" w:ascii="仿宋" w:hAnsi="仿宋" w:eastAsia="仿宋" w:cs="宋体"/>
          <w:color w:val="000000"/>
          <w:kern w:val="0"/>
          <w:sz w:val="32"/>
          <w:szCs w:val="32"/>
        </w:rPr>
        <w:t>：指除上述“财政拨款收入”、</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“上级补助收入”、“事业收入”、“经营收入”、“附属单位上缴收入”等以外的收入。</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7.用事业基金弥补收支差额</w:t>
      </w:r>
      <w:r>
        <w:rPr>
          <w:rFonts w:hint="eastAsia" w:ascii="仿宋" w:hAnsi="仿宋" w:eastAsia="仿宋" w:cs="宋体"/>
          <w:color w:val="000000"/>
          <w:kern w:val="0"/>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8.上年结转和结余</w:t>
      </w:r>
      <w:r>
        <w:rPr>
          <w:rFonts w:hint="eastAsia" w:ascii="仿宋" w:hAnsi="仿宋" w:eastAsia="仿宋" w:cs="宋体"/>
          <w:color w:val="000000"/>
          <w:kern w:val="0"/>
          <w:sz w:val="32"/>
          <w:szCs w:val="32"/>
        </w:rPr>
        <w:t>：指以前年度尚未完成、结转到本年按有关规定继续使用的资金。</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9.基本支出</w:t>
      </w:r>
      <w:r>
        <w:rPr>
          <w:rFonts w:hint="eastAsia" w:ascii="仿宋" w:hAnsi="仿宋" w:eastAsia="仿宋" w:cs="宋体"/>
          <w:color w:val="000000"/>
          <w:kern w:val="0"/>
          <w:sz w:val="32"/>
          <w:szCs w:val="32"/>
        </w:rPr>
        <w:t>：指保障机构正常运转、完成日常工作任务而发生的人员支出和公用支出。</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10.项目支出</w:t>
      </w:r>
      <w:r>
        <w:rPr>
          <w:rFonts w:hint="eastAsia" w:ascii="仿宋" w:hAnsi="仿宋" w:eastAsia="仿宋" w:cs="宋体"/>
          <w:color w:val="000000"/>
          <w:kern w:val="0"/>
          <w:sz w:val="32"/>
          <w:szCs w:val="32"/>
        </w:rPr>
        <w:t>：指在基本支出之外为完成特定行政任务和事业发展目标所发生的支出。</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11.上缴上级支出</w:t>
      </w:r>
      <w:r>
        <w:rPr>
          <w:rFonts w:hint="eastAsia" w:ascii="仿宋" w:hAnsi="仿宋" w:eastAsia="仿宋" w:cs="宋体"/>
          <w:color w:val="000000"/>
          <w:kern w:val="0"/>
          <w:sz w:val="32"/>
          <w:szCs w:val="32"/>
        </w:rPr>
        <w:t>：指事业单位按照财政部门和主管部门的规定上缴上级单位的支出。</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12.经营支出</w:t>
      </w:r>
      <w:r>
        <w:rPr>
          <w:rFonts w:hint="eastAsia" w:ascii="仿宋" w:hAnsi="仿宋" w:eastAsia="仿宋" w:cs="宋体"/>
          <w:color w:val="000000"/>
          <w:kern w:val="0"/>
          <w:sz w:val="32"/>
          <w:szCs w:val="32"/>
        </w:rPr>
        <w:t>：指事业单位在专业活动及辅助活动之外开展非独立核算经营活动发生的支出。</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13.对附属单位补助支出</w:t>
      </w:r>
      <w:r>
        <w:rPr>
          <w:rFonts w:hint="eastAsia" w:ascii="仿宋" w:hAnsi="仿宋" w:eastAsia="仿宋" w:cs="宋体"/>
          <w:color w:val="000000"/>
          <w:kern w:val="0"/>
          <w:sz w:val="32"/>
          <w:szCs w:val="32"/>
        </w:rPr>
        <w:t>：指事业单位用财政补助收入之外的收入对附属单位补助发生的支出。</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14.“三公”经费</w:t>
      </w:r>
      <w:r>
        <w:rPr>
          <w:rFonts w:hint="eastAsia" w:ascii="仿宋" w:hAnsi="仿宋" w:eastAsia="仿宋" w:cs="宋体"/>
          <w:color w:val="000000"/>
          <w:kern w:val="0"/>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315" w:lineRule="atLeast"/>
        <w:ind w:firstLine="643" w:firstLineChars="200"/>
        <w:jc w:val="left"/>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15.机关运行经费</w:t>
      </w:r>
      <w:r>
        <w:rPr>
          <w:rFonts w:hint="eastAsia" w:ascii="仿宋" w:hAnsi="仿宋" w:eastAsia="仿宋" w:cs="宋体"/>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16.城乡社区支出（类）城乡社区管理事务（款）行政运行（项）</w:t>
      </w:r>
      <w:r>
        <w:rPr>
          <w:rFonts w:hint="eastAsia" w:ascii="仿宋" w:hAnsi="仿宋" w:eastAsia="仿宋" w:cs="宋体"/>
          <w:color w:val="000000"/>
          <w:kern w:val="0"/>
          <w:sz w:val="32"/>
          <w:szCs w:val="32"/>
        </w:rPr>
        <w:t>：反映行政单位（包括实行公务员管理的事业单位）的基本支出。</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17. 城乡社区支出（类）城乡社区管理事务（款）一般行政管理事务（项）</w:t>
      </w:r>
      <w:r>
        <w:rPr>
          <w:rFonts w:hint="eastAsia" w:ascii="仿宋" w:hAnsi="仿宋" w:eastAsia="仿宋" w:cs="宋体"/>
          <w:color w:val="000000"/>
          <w:kern w:val="0"/>
          <w:sz w:val="32"/>
          <w:szCs w:val="32"/>
        </w:rPr>
        <w:t>：反映行政单位（包括实行公务员管理的事业单位）未单独设置项级科目的其他项目支出。</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18.社会保障和就业（类）行政事业单位离退休（款）归口管理的行政单位离退休（项）</w:t>
      </w:r>
      <w:r>
        <w:rPr>
          <w:rFonts w:hint="eastAsia" w:ascii="仿宋" w:hAnsi="仿宋" w:eastAsia="仿宋" w:cs="宋体"/>
          <w:color w:val="000000"/>
          <w:kern w:val="0"/>
          <w:sz w:val="32"/>
          <w:szCs w:val="32"/>
        </w:rPr>
        <w:t>：反映实行归口管理的行政单位（包括实行公务员管理的事业单位）开支的离退休经费。</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19.医疗卫生（类）医疗保障（款）行政单位医疗（项）</w:t>
      </w:r>
      <w:r>
        <w:rPr>
          <w:rFonts w:hint="eastAsia" w:ascii="仿宋" w:hAnsi="仿宋" w:eastAsia="仿宋" w:cs="宋体"/>
          <w:color w:val="000000"/>
          <w:kern w:val="0"/>
          <w:sz w:val="32"/>
          <w:szCs w:val="32"/>
        </w:rPr>
        <w:t>：反映财政部门集中安排的行政单位基本医疗保险缴费经费，未参加医疗保险的行政单位的公费医疗经费，按国家规定享受离休人员、红军老战士待遇人员的医疗经费。</w:t>
      </w:r>
    </w:p>
    <w:p>
      <w:pPr>
        <w:widowControl/>
        <w:shd w:val="clear" w:color="auto" w:fill="FFFFFF"/>
        <w:spacing w:line="420" w:lineRule="atLeast"/>
        <w:ind w:firstLine="643"/>
        <w:textAlignment w:val="baseline"/>
        <w:rPr>
          <w:rFonts w:hint="eastAsia" w:ascii="仿宋" w:hAnsi="仿宋" w:eastAsia="仿宋" w:cs="宋体"/>
          <w:color w:val="000000"/>
          <w:kern w:val="0"/>
          <w:sz w:val="32"/>
          <w:szCs w:val="32"/>
        </w:rPr>
      </w:pPr>
      <w:r>
        <w:rPr>
          <w:rFonts w:hint="eastAsia" w:ascii="仿宋" w:hAnsi="仿宋" w:eastAsia="仿宋" w:cs="宋体"/>
          <w:b/>
          <w:color w:val="000000"/>
          <w:kern w:val="0"/>
          <w:sz w:val="32"/>
          <w:szCs w:val="32"/>
        </w:rPr>
        <w:t>20.住房保障（类）住房改革（款）住房公积金（项）</w:t>
      </w:r>
      <w:r>
        <w:rPr>
          <w:rFonts w:hint="eastAsia" w:ascii="仿宋" w:hAnsi="仿宋" w:eastAsia="仿宋" w:cs="宋体"/>
          <w:color w:val="000000"/>
          <w:kern w:val="0"/>
          <w:sz w:val="32"/>
          <w:szCs w:val="32"/>
        </w:rPr>
        <w:t>：反映行政事业单位按人力资源和社会保障部、财政部规定的基本工资和津贴补贴以及规定比例为职工缴纳的住房公积金。</w:t>
      </w:r>
    </w:p>
    <w:p>
      <w:pPr>
        <w:widowControl/>
        <w:spacing w:line="315" w:lineRule="atLeast"/>
        <w:jc w:val="left"/>
        <w:rPr>
          <w:rFonts w:hint="eastAsia" w:ascii="仿宋" w:hAnsi="仿宋" w:eastAsia="仿宋" w:cs="宋体"/>
          <w:color w:val="000000"/>
          <w:kern w:val="0"/>
          <w:sz w:val="32"/>
          <w:szCs w:val="32"/>
        </w:rPr>
      </w:pPr>
    </w:p>
    <w:p>
      <w:pPr>
        <w:jc w:val="left"/>
        <w:rPr>
          <w:rFonts w:hint="eastAsia" w:ascii="仿宋" w:hAnsi="仿宋" w:eastAsia="仿宋"/>
          <w:b/>
          <w:sz w:val="32"/>
          <w:szCs w:val="32"/>
        </w:rPr>
      </w:pPr>
      <w:r>
        <w:rPr>
          <w:rFonts w:hint="eastAsia" w:ascii="仿宋" w:hAnsi="仿宋" w:eastAsia="仿宋" w:cs="宋体"/>
          <w:b/>
          <w:color w:val="000000"/>
          <w:kern w:val="0"/>
          <w:sz w:val="32"/>
          <w:szCs w:val="32"/>
        </w:rPr>
        <w:t>附：</w:t>
      </w:r>
      <w:r>
        <w:rPr>
          <w:rFonts w:hint="eastAsia" w:ascii="仿宋" w:hAnsi="仿宋" w:eastAsia="仿宋" w:cs="宋体"/>
          <w:b/>
          <w:color w:val="000000"/>
          <w:kern w:val="0"/>
          <w:sz w:val="32"/>
          <w:szCs w:val="32"/>
        </w:rPr>
        <w:fldChar w:fldCharType="begin"/>
      </w:r>
      <w:r>
        <w:rPr>
          <w:rFonts w:hint="eastAsia" w:ascii="仿宋" w:hAnsi="仿宋" w:eastAsia="仿宋" w:cs="宋体"/>
          <w:b/>
          <w:color w:val="000000"/>
          <w:kern w:val="0"/>
          <w:sz w:val="32"/>
          <w:szCs w:val="32"/>
        </w:rPr>
        <w:instrText xml:space="preserve"> HYPERLINK "http://www.ykjt.gov.cn/editor/attached/file/20161219/20161219090048_28982.xls" \t "_blank" </w:instrText>
      </w:r>
      <w:r>
        <w:rPr>
          <w:rFonts w:hint="eastAsia" w:ascii="仿宋" w:hAnsi="仿宋" w:eastAsia="仿宋" w:cs="宋体"/>
          <w:b/>
          <w:color w:val="000000"/>
          <w:kern w:val="0"/>
          <w:sz w:val="32"/>
          <w:szCs w:val="32"/>
        </w:rPr>
        <w:fldChar w:fldCharType="separate"/>
      </w:r>
      <w:r>
        <w:rPr>
          <w:rFonts w:hint="eastAsia" w:ascii="仿宋" w:hAnsi="仿宋" w:eastAsia="仿宋" w:cs="宋体"/>
          <w:b/>
          <w:color w:val="000000"/>
          <w:kern w:val="0"/>
          <w:sz w:val="32"/>
          <w:szCs w:val="32"/>
        </w:rPr>
        <w:t>20</w:t>
      </w:r>
      <w:r>
        <w:rPr>
          <w:rFonts w:hint="eastAsia" w:ascii="仿宋" w:hAnsi="仿宋" w:eastAsia="仿宋" w:cs="宋体"/>
          <w:b/>
          <w:color w:val="000000"/>
          <w:kern w:val="0"/>
          <w:sz w:val="32"/>
          <w:szCs w:val="32"/>
          <w:lang w:val="en-US" w:eastAsia="zh-CN"/>
        </w:rPr>
        <w:t>20</w:t>
      </w:r>
      <w:r>
        <w:rPr>
          <w:rFonts w:hint="eastAsia" w:ascii="仿宋" w:hAnsi="仿宋" w:eastAsia="仿宋" w:cs="宋体"/>
          <w:b/>
          <w:color w:val="000000"/>
          <w:kern w:val="0"/>
          <w:sz w:val="32"/>
          <w:szCs w:val="32"/>
        </w:rPr>
        <w:t>年</w:t>
      </w:r>
      <w:r>
        <w:rPr>
          <w:rFonts w:hint="eastAsia" w:ascii="仿宋" w:hAnsi="仿宋" w:eastAsia="仿宋" w:cs="宋体"/>
          <w:b/>
          <w:bCs/>
          <w:color w:val="000000"/>
          <w:kern w:val="0"/>
          <w:sz w:val="32"/>
          <w:szCs w:val="32"/>
          <w:lang w:eastAsia="zh-CN"/>
        </w:rPr>
        <w:t>盖州市海洋与渔业局</w:t>
      </w:r>
      <w:r>
        <w:rPr>
          <w:rFonts w:hint="eastAsia" w:ascii="仿宋" w:hAnsi="仿宋" w:eastAsia="仿宋" w:cs="宋体"/>
          <w:b/>
          <w:bCs/>
          <w:color w:val="000000"/>
          <w:kern w:val="0"/>
          <w:sz w:val="32"/>
          <w:szCs w:val="32"/>
        </w:rPr>
        <w:t>及所属</w:t>
      </w:r>
      <w:r>
        <w:rPr>
          <w:rFonts w:hint="eastAsia" w:ascii="仿宋" w:hAnsi="仿宋" w:eastAsia="仿宋" w:cs="宋体"/>
          <w:b/>
          <w:color w:val="000000"/>
          <w:kern w:val="0"/>
          <w:sz w:val="32"/>
          <w:szCs w:val="32"/>
        </w:rPr>
        <w:t>部门预算公开表</w:t>
      </w:r>
      <w:r>
        <w:rPr>
          <w:rFonts w:hint="eastAsia" w:ascii="仿宋" w:hAnsi="仿宋" w:eastAsia="仿宋" w:cs="宋体"/>
          <w:b/>
          <w:color w:val="000000"/>
          <w:kern w:val="0"/>
          <w:sz w:val="32"/>
          <w:szCs w:val="32"/>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1A0F3C52" w:usb2="00000010"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24544"/>
    <w:multiLevelType w:val="singleLevel"/>
    <w:tmpl w:val="9FE24544"/>
    <w:lvl w:ilvl="0" w:tentative="0">
      <w:start w:val="2"/>
      <w:numFmt w:val="chineseCounting"/>
      <w:suff w:val="nothing"/>
      <w:lvlText w:val="%1、"/>
      <w:lvlJc w:val="left"/>
      <w:rPr>
        <w:rFonts w:hint="eastAsia"/>
      </w:rPr>
    </w:lvl>
  </w:abstractNum>
  <w:abstractNum w:abstractNumId="1">
    <w:nsid w:val="212E738B"/>
    <w:multiLevelType w:val="singleLevel"/>
    <w:tmpl w:val="212E738B"/>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122C6"/>
    <w:rsid w:val="2A0B21F5"/>
    <w:rsid w:val="504A0C54"/>
    <w:rsid w:val="56EA77E9"/>
    <w:rsid w:val="5E61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2021-05-24T02:28:00Z</dcterms:created>
  <dc:creator>邱昕儒</dc:creator>
  <cp:lastModifiedBy>邱昕儒</cp:lastModifiedBy>
  <cp:lastPrinted>2021-05-25T08:21:01Z</cp:lastPrinted>
  <dcterms:modified xsi:type="dcterms:W3CDTF">2021-05-25T08:41:31Z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